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1FE0C1" w14:textId="77777777" w:rsidR="00AB0DDA" w:rsidRPr="00AB0DDA" w:rsidRDefault="00AB0DDA" w:rsidP="00AB0DDA">
      <w:pPr>
        <w:rPr>
          <w:rFonts w:ascii="Arial" w:hAnsi="Arial" w:cs="Arial"/>
          <w:b/>
          <w:color w:val="FF0000"/>
          <w:sz w:val="28"/>
          <w:szCs w:val="28"/>
        </w:rPr>
      </w:pPr>
      <w:r w:rsidRPr="00597DE9">
        <w:rPr>
          <w:rFonts w:ascii="Arial" w:hAnsi="Arial" w:cs="Arial"/>
          <w:b/>
          <w:color w:val="FF0000"/>
          <w:sz w:val="28"/>
          <w:szCs w:val="28"/>
          <w:lang w:val="el-GR"/>
        </w:rPr>
        <w:t>ΔΗΜΟΣΙΕΥΣΕΙΣ</w:t>
      </w:r>
    </w:p>
    <w:p w14:paraId="23FE1DF0" w14:textId="77777777" w:rsidR="00AB0DDA" w:rsidRPr="00AB0DDA" w:rsidRDefault="00AB0DDA" w:rsidP="00AB0DDA">
      <w:pPr>
        <w:rPr>
          <w:rFonts w:ascii="Arial" w:hAnsi="Arial" w:cs="Arial"/>
          <w:b/>
          <w:i/>
          <w:iCs/>
          <w:color w:val="FF0000"/>
        </w:rPr>
      </w:pPr>
    </w:p>
    <w:p w14:paraId="66CF4126" w14:textId="77777777" w:rsidR="00AB0DDA" w:rsidRPr="0066502D" w:rsidRDefault="00AB0DDA" w:rsidP="00AB0DDA">
      <w:pPr>
        <w:rPr>
          <w:rFonts w:ascii="Arial" w:hAnsi="Arial" w:cs="Arial"/>
          <w:bCs/>
          <w:color w:val="FF0000"/>
        </w:rPr>
      </w:pPr>
      <w:r w:rsidRPr="0066502D">
        <w:rPr>
          <w:rFonts w:ascii="Arial" w:hAnsi="Arial" w:cs="Arial"/>
          <w:bCs/>
          <w:color w:val="FF0000"/>
        </w:rPr>
        <w:t>Natural Product Research</w:t>
      </w:r>
      <w:r w:rsidRPr="0066502D">
        <w:rPr>
          <w:rFonts w:ascii="Arial" w:hAnsi="Arial" w:cs="Arial"/>
          <w:bCs/>
          <w:color w:val="000000" w:themeColor="text1"/>
        </w:rPr>
        <w:t>, 1–10.</w:t>
      </w:r>
      <w:r>
        <w:rPr>
          <w:rFonts w:ascii="Arial" w:hAnsi="Arial" w:cs="Arial"/>
          <w:bCs/>
          <w:color w:val="000000" w:themeColor="text1"/>
        </w:rPr>
        <w:t xml:space="preserve"> (2025) </w:t>
      </w:r>
      <w:r w:rsidRPr="0066502D">
        <w:rPr>
          <w:rFonts w:ascii="Arial" w:hAnsi="Arial" w:cs="Arial"/>
          <w:bCs/>
          <w:color w:val="000000" w:themeColor="text1"/>
        </w:rPr>
        <w:t xml:space="preserve"> </w:t>
      </w:r>
      <w:hyperlink r:id="rId4" w:history="1">
        <w:r w:rsidRPr="0066502D">
          <w:rPr>
            <w:rStyle w:val="-"/>
            <w:rFonts w:ascii="Arial" w:hAnsi="Arial" w:cs="Arial"/>
            <w:bCs/>
          </w:rPr>
          <w:t>https://doi.org/10.1080/14786419.2025.2456087</w:t>
        </w:r>
      </w:hyperlink>
    </w:p>
    <w:p w14:paraId="38033B27" w14:textId="77777777" w:rsidR="00AB0DDA" w:rsidRDefault="00AB0DDA" w:rsidP="00AB0DDA">
      <w:pPr>
        <w:rPr>
          <w:rFonts w:ascii="Arial" w:hAnsi="Arial" w:cs="Arial"/>
          <w:bCs/>
          <w:color w:val="000000" w:themeColor="text1"/>
        </w:rPr>
      </w:pPr>
      <w:r w:rsidRPr="0066502D">
        <w:rPr>
          <w:rFonts w:ascii="Arial" w:hAnsi="Arial" w:cs="Arial"/>
          <w:bCs/>
          <w:color w:val="000000" w:themeColor="text1"/>
        </w:rPr>
        <w:t xml:space="preserve">Giannakopoulou, G., Pavlou, P., Papageorgiou, S., </w:t>
      </w:r>
      <w:proofErr w:type="spellStart"/>
      <w:r w:rsidRPr="0066502D">
        <w:rPr>
          <w:rFonts w:ascii="Arial" w:hAnsi="Arial" w:cs="Arial"/>
          <w:bCs/>
          <w:color w:val="000000" w:themeColor="text1"/>
        </w:rPr>
        <w:t>Siamidi</w:t>
      </w:r>
      <w:proofErr w:type="spellEnd"/>
      <w:r w:rsidRPr="0066502D">
        <w:rPr>
          <w:rFonts w:ascii="Arial" w:hAnsi="Arial" w:cs="Arial"/>
          <w:bCs/>
          <w:color w:val="000000" w:themeColor="text1"/>
        </w:rPr>
        <w:t xml:space="preserve">, A., </w:t>
      </w:r>
      <w:proofErr w:type="spellStart"/>
      <w:r w:rsidRPr="0066502D">
        <w:rPr>
          <w:rFonts w:ascii="Arial" w:hAnsi="Arial" w:cs="Arial"/>
          <w:bCs/>
          <w:color w:val="000000" w:themeColor="text1"/>
        </w:rPr>
        <w:t>Vlachou</w:t>
      </w:r>
      <w:proofErr w:type="spellEnd"/>
      <w:r w:rsidRPr="0066502D">
        <w:rPr>
          <w:rFonts w:ascii="Arial" w:hAnsi="Arial" w:cs="Arial"/>
          <w:bCs/>
          <w:color w:val="000000" w:themeColor="text1"/>
        </w:rPr>
        <w:t xml:space="preserve">, M., &amp; Varvaresou, A. </w:t>
      </w:r>
    </w:p>
    <w:p w14:paraId="6F0113AB" w14:textId="77777777" w:rsidR="00AB0DDA" w:rsidRDefault="00AB0DDA" w:rsidP="00AB0DDA">
      <w:pPr>
        <w:rPr>
          <w:rFonts w:ascii="Arial" w:hAnsi="Arial" w:cs="Arial"/>
          <w:bCs/>
          <w:color w:val="000000" w:themeColor="text1"/>
        </w:rPr>
      </w:pPr>
      <w:r w:rsidRPr="0066502D">
        <w:rPr>
          <w:rFonts w:ascii="Arial" w:hAnsi="Arial" w:cs="Arial"/>
          <w:bCs/>
          <w:color w:val="000000" w:themeColor="text1"/>
        </w:rPr>
        <w:t xml:space="preserve"> Use of </w:t>
      </w:r>
      <w:r w:rsidRPr="0066502D">
        <w:rPr>
          <w:rFonts w:ascii="Arial" w:hAnsi="Arial" w:cs="Arial"/>
          <w:bCs/>
          <w:i/>
          <w:iCs/>
          <w:color w:val="000000" w:themeColor="text1"/>
        </w:rPr>
        <w:t>Propolis</w:t>
      </w:r>
      <w:r w:rsidRPr="0066502D">
        <w:rPr>
          <w:rFonts w:ascii="Arial" w:hAnsi="Arial" w:cs="Arial"/>
          <w:bCs/>
          <w:color w:val="000000" w:themeColor="text1"/>
        </w:rPr>
        <w:t> and </w:t>
      </w:r>
      <w:r w:rsidRPr="0066502D">
        <w:rPr>
          <w:rFonts w:ascii="Arial" w:hAnsi="Arial" w:cs="Arial"/>
          <w:bCs/>
          <w:i/>
          <w:iCs/>
          <w:color w:val="000000" w:themeColor="text1"/>
        </w:rPr>
        <w:t>Echinacea</w:t>
      </w:r>
      <w:r w:rsidRPr="0066502D">
        <w:rPr>
          <w:rFonts w:ascii="Arial" w:hAnsi="Arial" w:cs="Arial"/>
          <w:bCs/>
          <w:color w:val="000000" w:themeColor="text1"/>
        </w:rPr>
        <w:t> extracts as alternatives to organic filter in photoprotective formulations. </w:t>
      </w:r>
    </w:p>
    <w:p w14:paraId="175C726C" w14:textId="77777777" w:rsidR="00AB0DDA" w:rsidRPr="00AB0DDA" w:rsidRDefault="00AB0DDA" w:rsidP="00AB0DDA">
      <w:pPr>
        <w:rPr>
          <w:rFonts w:ascii="Arial" w:hAnsi="Arial" w:cs="Arial"/>
          <w:color w:val="000000" w:themeColor="text1"/>
        </w:rPr>
      </w:pPr>
      <w:r w:rsidRPr="00AE01E7">
        <w:rPr>
          <w:rFonts w:ascii="Arial" w:hAnsi="Arial" w:cs="Arial"/>
          <w:color w:val="000000" w:themeColor="text1"/>
        </w:rPr>
        <w:t>Abstract</w:t>
      </w:r>
    </w:p>
    <w:p w14:paraId="509E50E8" w14:textId="77777777" w:rsidR="00AB0DDA" w:rsidRPr="00AB0DDA" w:rsidRDefault="00AB0DDA" w:rsidP="00AB0DDA">
      <w:pPr>
        <w:rPr>
          <w:rFonts w:ascii="Arial" w:hAnsi="Arial" w:cs="Arial"/>
          <w:bCs/>
          <w:color w:val="000000" w:themeColor="text1"/>
        </w:rPr>
      </w:pPr>
      <w:r w:rsidRPr="007E4233">
        <w:rPr>
          <w:rFonts w:ascii="Arial" w:hAnsi="Arial" w:cs="Arial"/>
          <w:bCs/>
          <w:color w:val="000000" w:themeColor="text1"/>
        </w:rPr>
        <w:t>Recently, the cosmetic and pharmaceutical industries have aimed to reduce the concentration of EU-approved organic filters in their products by incorporating more natural ingredients. The goal is to find effective SPF boosters from plants while maintaining high protection levels and adhering to ecological and public health standards. This study focuses on developing a sunscreen formulation that replaces the organic filter EHMC (2-ethylhexyl-4-meth</w:t>
      </w:r>
      <w:r w:rsidRPr="007E4233">
        <w:rPr>
          <w:rFonts w:ascii="Arial" w:hAnsi="Arial" w:cs="Arial"/>
          <w:bCs/>
          <w:color w:val="000000" w:themeColor="text1"/>
        </w:rPr>
        <w:softHyphen/>
        <w:t>oxycinnamate) with extracts from </w:t>
      </w:r>
      <w:r w:rsidRPr="007E4233">
        <w:rPr>
          <w:rFonts w:ascii="Arial" w:hAnsi="Arial" w:cs="Arial"/>
          <w:bCs/>
          <w:i/>
          <w:iCs/>
          <w:color w:val="000000" w:themeColor="text1"/>
        </w:rPr>
        <w:t>Echinacea purpurea</w:t>
      </w:r>
      <w:r w:rsidRPr="007E4233">
        <w:rPr>
          <w:rFonts w:ascii="Arial" w:hAnsi="Arial" w:cs="Arial"/>
          <w:bCs/>
          <w:color w:val="000000" w:themeColor="text1"/>
        </w:rPr>
        <w:t> and/or </w:t>
      </w:r>
      <w:r w:rsidRPr="007E4233">
        <w:rPr>
          <w:rFonts w:ascii="Arial" w:hAnsi="Arial" w:cs="Arial"/>
          <w:bCs/>
          <w:i/>
          <w:iCs/>
          <w:color w:val="000000" w:themeColor="text1"/>
        </w:rPr>
        <w:t>Propolis</w:t>
      </w:r>
      <w:r w:rsidRPr="007E4233">
        <w:rPr>
          <w:rFonts w:ascii="Arial" w:hAnsi="Arial" w:cs="Arial"/>
          <w:bCs/>
          <w:color w:val="000000" w:themeColor="text1"/>
        </w:rPr>
        <w:t xml:space="preserve"> oil. The new formulation, which includes </w:t>
      </w:r>
      <w:proofErr w:type="spellStart"/>
      <w:r w:rsidRPr="007E4233">
        <w:rPr>
          <w:rFonts w:ascii="Arial" w:hAnsi="Arial" w:cs="Arial"/>
          <w:bCs/>
          <w:color w:val="000000" w:themeColor="text1"/>
        </w:rPr>
        <w:t>Ethylhexyltriazone</w:t>
      </w:r>
      <w:proofErr w:type="spellEnd"/>
      <w:r w:rsidRPr="007E4233">
        <w:rPr>
          <w:rFonts w:ascii="Arial" w:hAnsi="Arial" w:cs="Arial"/>
          <w:bCs/>
          <w:color w:val="000000" w:themeColor="text1"/>
        </w:rPr>
        <w:t xml:space="preserve"> (EHT), Octocrylene (OCR), Diethylamino </w:t>
      </w:r>
      <w:proofErr w:type="spellStart"/>
      <w:r w:rsidRPr="007E4233">
        <w:rPr>
          <w:rFonts w:ascii="Arial" w:hAnsi="Arial" w:cs="Arial"/>
          <w:bCs/>
          <w:color w:val="000000" w:themeColor="text1"/>
        </w:rPr>
        <w:t>hydroxybenzoyl</w:t>
      </w:r>
      <w:proofErr w:type="spellEnd"/>
      <w:r w:rsidRPr="007E4233">
        <w:rPr>
          <w:rFonts w:ascii="Arial" w:hAnsi="Arial" w:cs="Arial"/>
          <w:bCs/>
          <w:color w:val="000000" w:themeColor="text1"/>
        </w:rPr>
        <w:t xml:space="preserve"> hexyl benzoate (DHHB), and Methylene </w:t>
      </w:r>
      <w:proofErr w:type="spellStart"/>
      <w:r w:rsidRPr="007E4233">
        <w:rPr>
          <w:rFonts w:ascii="Arial" w:hAnsi="Arial" w:cs="Arial"/>
          <w:bCs/>
          <w:i/>
          <w:iCs/>
          <w:color w:val="000000" w:themeColor="text1"/>
        </w:rPr>
        <w:t>bis</w:t>
      </w:r>
      <w:r w:rsidRPr="007E4233">
        <w:rPr>
          <w:rFonts w:ascii="Arial" w:hAnsi="Arial" w:cs="Arial"/>
          <w:bCs/>
          <w:color w:val="000000" w:themeColor="text1"/>
        </w:rPr>
        <w:t>-benzotriazol</w:t>
      </w:r>
      <w:r w:rsidRPr="007E4233">
        <w:rPr>
          <w:rFonts w:ascii="Arial" w:hAnsi="Arial" w:cs="Arial"/>
          <w:bCs/>
          <w:color w:val="000000" w:themeColor="text1"/>
        </w:rPr>
        <w:softHyphen/>
        <w:t>yltetramethylbutylphenol</w:t>
      </w:r>
      <w:proofErr w:type="spellEnd"/>
      <w:r w:rsidRPr="007E4233">
        <w:rPr>
          <w:rFonts w:ascii="Arial" w:hAnsi="Arial" w:cs="Arial"/>
          <w:bCs/>
          <w:color w:val="000000" w:themeColor="text1"/>
        </w:rPr>
        <w:t xml:space="preserve"> (MBBT), was compared with a control formulation containing EHMC. The results showed that the plant-based combination significantly enhanced the </w:t>
      </w:r>
      <w:r w:rsidRPr="007E4233">
        <w:rPr>
          <w:rFonts w:ascii="Arial" w:hAnsi="Arial" w:cs="Arial"/>
          <w:bCs/>
          <w:i/>
          <w:iCs/>
          <w:color w:val="000000" w:themeColor="text1"/>
        </w:rPr>
        <w:t>in vitro</w:t>
      </w:r>
      <w:r w:rsidRPr="007E4233">
        <w:rPr>
          <w:rFonts w:ascii="Arial" w:hAnsi="Arial" w:cs="Arial"/>
          <w:bCs/>
          <w:color w:val="000000" w:themeColor="text1"/>
        </w:rPr>
        <w:t> SPF and UVAPF by over 80% and 60%, respectively.</w:t>
      </w:r>
    </w:p>
    <w:p w14:paraId="6492AC8B" w14:textId="77777777" w:rsidR="00AB0DDA" w:rsidRDefault="00AB0DDA" w:rsidP="00AB0DDA">
      <w:pPr>
        <w:rPr>
          <w:rFonts w:ascii="Arial" w:hAnsi="Arial" w:cs="Arial"/>
          <w:bCs/>
          <w:color w:val="0D0D0D" w:themeColor="text1" w:themeTint="F2"/>
          <w:lang w:val="el-GR"/>
        </w:rPr>
      </w:pPr>
      <w:r w:rsidRPr="00597DE9">
        <w:rPr>
          <w:rFonts w:ascii="Arial" w:hAnsi="Arial" w:cs="Arial"/>
          <w:bCs/>
          <w:color w:val="0D0D0D" w:themeColor="text1" w:themeTint="F2"/>
          <w:lang w:val="el-GR"/>
        </w:rPr>
        <w:t xml:space="preserve">Επιβλέπουσα: </w:t>
      </w:r>
      <w:r>
        <w:rPr>
          <w:rFonts w:ascii="Arial" w:hAnsi="Arial" w:cs="Arial"/>
          <w:bCs/>
          <w:color w:val="0D0D0D" w:themeColor="text1" w:themeTint="F2"/>
          <w:lang w:val="el-GR"/>
        </w:rPr>
        <w:t>Παύλου Παναγούλα</w:t>
      </w:r>
      <w:r w:rsidRPr="00597DE9">
        <w:rPr>
          <w:rFonts w:ascii="Arial" w:hAnsi="Arial" w:cs="Arial"/>
          <w:bCs/>
          <w:color w:val="0D0D0D" w:themeColor="text1" w:themeTint="F2"/>
          <w:lang w:val="el-GR"/>
        </w:rPr>
        <w:t xml:space="preserve">,  Μεταπτυχιακή φοιτήτρια: </w:t>
      </w:r>
      <w:r>
        <w:rPr>
          <w:rFonts w:ascii="Arial" w:hAnsi="Arial" w:cs="Arial"/>
          <w:bCs/>
          <w:color w:val="0D0D0D" w:themeColor="text1" w:themeTint="F2"/>
          <w:lang w:val="el-GR"/>
        </w:rPr>
        <w:t>Γιαννακοπούλου Γεωργία</w:t>
      </w:r>
    </w:p>
    <w:p w14:paraId="69F24FA6" w14:textId="77777777" w:rsidR="00AB0DDA" w:rsidRPr="007E4233" w:rsidRDefault="00AB0DDA" w:rsidP="00AB0DDA">
      <w:pPr>
        <w:rPr>
          <w:rFonts w:ascii="Arial" w:hAnsi="Arial" w:cs="Arial"/>
          <w:bCs/>
          <w:color w:val="000000" w:themeColor="text1"/>
          <w:lang w:val="el-GR"/>
        </w:rPr>
      </w:pPr>
    </w:p>
    <w:p w14:paraId="0FE67683" w14:textId="77777777" w:rsidR="00AB0DDA" w:rsidRPr="00AB0DDA" w:rsidRDefault="00AB0DDA" w:rsidP="00AB0DDA">
      <w:pPr>
        <w:rPr>
          <w:rFonts w:ascii="Arial" w:hAnsi="Arial" w:cs="Arial"/>
          <w:b/>
          <w:i/>
          <w:iCs/>
          <w:color w:val="FF0000"/>
          <w:lang w:val="el-GR"/>
        </w:rPr>
      </w:pPr>
      <w:hyperlink r:id="rId5" w:history="1">
        <w:r w:rsidRPr="00640884">
          <w:rPr>
            <w:rStyle w:val="-"/>
            <w:rFonts w:ascii="Arial" w:hAnsi="Arial" w:cs="Arial"/>
            <w:b/>
            <w:i/>
            <w:iCs/>
            <w:lang w:val="el-GR"/>
          </w:rPr>
          <w:t>https://polynoe.lib.uniwa.gr/xmlui/handle/11400/3325</w:t>
        </w:r>
      </w:hyperlink>
    </w:p>
    <w:p w14:paraId="175D45F3" w14:textId="77777777" w:rsidR="00AB0DDA" w:rsidRDefault="00AB0DDA" w:rsidP="00AB0DDA">
      <w:pPr>
        <w:rPr>
          <w:rFonts w:ascii="Arial" w:hAnsi="Arial" w:cs="Arial"/>
          <w:b/>
          <w:i/>
          <w:iCs/>
          <w:color w:val="FF0000"/>
          <w:lang w:val="el-GR"/>
        </w:rPr>
      </w:pPr>
      <w:hyperlink r:id="rId6" w:history="1">
        <w:r w:rsidRPr="00640884">
          <w:rPr>
            <w:rStyle w:val="-"/>
            <w:rFonts w:ascii="Arial" w:hAnsi="Arial" w:cs="Arial"/>
            <w:b/>
            <w:i/>
            <w:iCs/>
            <w:lang w:val="el-GR"/>
          </w:rPr>
          <w:t xml:space="preserve">Φυσικά συστατικά στα αντηλιακά. Τοπικές συνθέσεις και αξιολόγηση </w:t>
        </w:r>
        <w:r w:rsidRPr="00640884">
          <w:rPr>
            <w:rStyle w:val="-"/>
            <w:rFonts w:ascii="Arial" w:hAnsi="Arial" w:cs="Arial"/>
            <w:b/>
            <w:i/>
            <w:iCs/>
          </w:rPr>
          <w:t>in</w:t>
        </w:r>
        <w:r w:rsidRPr="00640884">
          <w:rPr>
            <w:rStyle w:val="-"/>
            <w:rFonts w:ascii="Arial" w:hAnsi="Arial" w:cs="Arial"/>
            <w:b/>
            <w:i/>
            <w:iCs/>
            <w:lang w:val="el-GR"/>
          </w:rPr>
          <w:t xml:space="preserve"> </w:t>
        </w:r>
        <w:r w:rsidRPr="00640884">
          <w:rPr>
            <w:rStyle w:val="-"/>
            <w:rFonts w:ascii="Arial" w:hAnsi="Arial" w:cs="Arial"/>
            <w:b/>
            <w:i/>
            <w:iCs/>
          </w:rPr>
          <w:t>vitro</w:t>
        </w:r>
        <w:r w:rsidRPr="00640884">
          <w:rPr>
            <w:rStyle w:val="-"/>
            <w:rFonts w:ascii="Arial" w:hAnsi="Arial" w:cs="Arial"/>
            <w:b/>
            <w:i/>
            <w:iCs/>
            <w:lang w:val="el-GR"/>
          </w:rPr>
          <w:t xml:space="preserve"> του δείκτη </w:t>
        </w:r>
        <w:r w:rsidRPr="00640884">
          <w:rPr>
            <w:rStyle w:val="-"/>
            <w:rFonts w:ascii="Arial" w:hAnsi="Arial" w:cs="Arial"/>
            <w:b/>
            <w:i/>
            <w:iCs/>
          </w:rPr>
          <w:t>SPF</w:t>
        </w:r>
      </w:hyperlink>
    </w:p>
    <w:p w14:paraId="70514441" w14:textId="77777777" w:rsidR="00AB0DDA" w:rsidRDefault="00AB0DDA" w:rsidP="00AB0DDA">
      <w:pPr>
        <w:rPr>
          <w:rFonts w:ascii="Arial" w:hAnsi="Arial" w:cs="Arial"/>
          <w:b/>
          <w:i/>
          <w:iCs/>
          <w:color w:val="FF0000"/>
          <w:lang w:val="el-GR"/>
        </w:rPr>
      </w:pPr>
    </w:p>
    <w:p w14:paraId="78B46EAA" w14:textId="77777777" w:rsidR="00AB0DDA" w:rsidRPr="00AB0DDA" w:rsidRDefault="00AB0DDA" w:rsidP="00AB0DDA">
      <w:pPr>
        <w:rPr>
          <w:rFonts w:ascii="Arial" w:hAnsi="Arial" w:cs="Arial"/>
          <w:b/>
          <w:i/>
          <w:iCs/>
          <w:color w:val="FF0000"/>
          <w:lang w:val="el-GR"/>
        </w:rPr>
      </w:pPr>
    </w:p>
    <w:p w14:paraId="3D06761B" w14:textId="77777777" w:rsidR="00AB0DDA" w:rsidRPr="00AB0DDA" w:rsidRDefault="00AB0DDA" w:rsidP="00AB0DDA">
      <w:pPr>
        <w:rPr>
          <w:rFonts w:ascii="Arial" w:hAnsi="Arial" w:cs="Arial"/>
          <w:b/>
          <w:color w:val="FF0000"/>
          <w:sz w:val="28"/>
          <w:szCs w:val="28"/>
          <w:lang w:val="it-IT"/>
        </w:rPr>
      </w:pPr>
      <w:r w:rsidRPr="00AB0DDA">
        <w:rPr>
          <w:rFonts w:ascii="Arial" w:hAnsi="Arial" w:cs="Arial"/>
          <w:b/>
          <w:i/>
          <w:iCs/>
          <w:color w:val="FF0000"/>
          <w:lang w:val="it-IT"/>
        </w:rPr>
        <w:t>Marine Drugs</w:t>
      </w:r>
      <w:r w:rsidRPr="00AB0DDA">
        <w:rPr>
          <w:rFonts w:ascii="Arial" w:hAnsi="Arial" w:cs="Arial"/>
          <w:b/>
          <w:color w:val="FF0000"/>
          <w:lang w:val="it-IT"/>
        </w:rPr>
        <w:t>,</w:t>
      </w:r>
      <w:r w:rsidRPr="00AB0DDA">
        <w:rPr>
          <w:rFonts w:ascii="Arial" w:hAnsi="Arial" w:cs="Arial"/>
          <w:bCs/>
          <w:color w:val="FF0000"/>
          <w:lang w:val="it-IT"/>
        </w:rPr>
        <w:t> </w:t>
      </w:r>
      <w:r w:rsidRPr="00AB0DDA">
        <w:rPr>
          <w:rFonts w:ascii="Arial" w:hAnsi="Arial" w:cs="Arial"/>
          <w:bCs/>
          <w:i/>
          <w:iCs/>
          <w:lang w:val="it-IT"/>
        </w:rPr>
        <w:t>2025 23</w:t>
      </w:r>
      <w:r w:rsidRPr="00AB0DDA">
        <w:rPr>
          <w:rFonts w:ascii="Arial" w:hAnsi="Arial" w:cs="Arial"/>
          <w:bCs/>
          <w:lang w:val="it-IT"/>
        </w:rPr>
        <w:t xml:space="preserve">(1), 5. </w:t>
      </w:r>
      <w:r>
        <w:fldChar w:fldCharType="begin"/>
      </w:r>
      <w:r w:rsidRPr="00AB0DDA">
        <w:rPr>
          <w:lang w:val="it-IT"/>
        </w:rPr>
        <w:instrText>HYPERLINK "https://doi.org/10.3390/md23010005"</w:instrText>
      </w:r>
      <w:r>
        <w:fldChar w:fldCharType="separate"/>
      </w:r>
      <w:r w:rsidRPr="00AB0DDA">
        <w:rPr>
          <w:rStyle w:val="-"/>
          <w:rFonts w:ascii="Arial" w:hAnsi="Arial" w:cs="Arial"/>
          <w:b/>
          <w:bCs/>
          <w:lang w:val="it-IT"/>
        </w:rPr>
        <w:t>https://doi.org/10.3390/md23010005</w:t>
      </w:r>
      <w:r>
        <w:fldChar w:fldCharType="end"/>
      </w:r>
    </w:p>
    <w:p w14:paraId="3BEDB783" w14:textId="77777777" w:rsidR="00AB0DDA" w:rsidRPr="00AB0DDA" w:rsidRDefault="00AB0DDA" w:rsidP="00AB0DDA">
      <w:pPr>
        <w:rPr>
          <w:rFonts w:ascii="Arial" w:hAnsi="Arial" w:cs="Arial"/>
          <w:bCs/>
          <w:lang w:val="it-IT"/>
        </w:rPr>
      </w:pPr>
      <w:r w:rsidRPr="00AB0DDA">
        <w:rPr>
          <w:rFonts w:ascii="Arial" w:hAnsi="Arial" w:cs="Arial"/>
          <w:bCs/>
          <w:lang w:val="it-IT"/>
        </w:rPr>
        <w:t xml:space="preserve">Karma, N.-I., Mellou, F., Pavlou, P., Siamidi, A., &amp; Varvaresou, A. (2025). </w:t>
      </w:r>
    </w:p>
    <w:p w14:paraId="29A5DDEE" w14:textId="77777777" w:rsidR="00AB0DDA" w:rsidRPr="00AE01E7" w:rsidRDefault="00AB0DDA" w:rsidP="00AB0DDA">
      <w:pPr>
        <w:rPr>
          <w:rFonts w:ascii="Arial" w:hAnsi="Arial" w:cs="Arial"/>
          <w:bCs/>
          <w:u w:val="single"/>
        </w:rPr>
      </w:pPr>
      <w:r w:rsidRPr="00AE01E7">
        <w:rPr>
          <w:rFonts w:ascii="Arial" w:hAnsi="Arial" w:cs="Arial"/>
          <w:bCs/>
          <w:u w:val="single"/>
        </w:rPr>
        <w:t xml:space="preserve">Compounds of Marine Origin with Possible Applications as Healing Agents.  </w:t>
      </w:r>
    </w:p>
    <w:p w14:paraId="5B3FB5EC" w14:textId="77777777" w:rsidR="00AB0DDA" w:rsidRPr="00AE01E7" w:rsidRDefault="00AB0DDA" w:rsidP="00AB0DDA">
      <w:pPr>
        <w:rPr>
          <w:rFonts w:ascii="Arial" w:hAnsi="Arial" w:cs="Arial"/>
          <w:color w:val="000000" w:themeColor="text1"/>
        </w:rPr>
      </w:pPr>
      <w:r w:rsidRPr="00AE01E7">
        <w:rPr>
          <w:rFonts w:ascii="Arial" w:hAnsi="Arial" w:cs="Arial"/>
          <w:color w:val="000000" w:themeColor="text1"/>
        </w:rPr>
        <w:t>Abstract</w:t>
      </w:r>
    </w:p>
    <w:p w14:paraId="3632FCFF" w14:textId="77777777" w:rsidR="00AB0DDA" w:rsidRPr="00AE01E7" w:rsidRDefault="00AB0DDA" w:rsidP="00AB0DDA">
      <w:pPr>
        <w:rPr>
          <w:rFonts w:ascii="Arial" w:hAnsi="Arial" w:cs="Arial"/>
          <w:color w:val="000000" w:themeColor="text1"/>
        </w:rPr>
      </w:pPr>
      <w:r w:rsidRPr="00AE01E7">
        <w:rPr>
          <w:rFonts w:ascii="Arial" w:hAnsi="Arial" w:cs="Arial"/>
          <w:color w:val="000000" w:themeColor="text1"/>
        </w:rPr>
        <w:t xml:space="preserve">It is well established that marine organisms consist of a great variety of active compounds that appear exclusively in the marine environment while having the ability to be vastly reproduced, irrespective of the existing conditions. As a result, marine organisms can be used in many scientific fields, including </w:t>
      </w:r>
      <w:proofErr w:type="gramStart"/>
      <w:r w:rsidRPr="00AE01E7">
        <w:rPr>
          <w:rFonts w:ascii="Arial" w:hAnsi="Arial" w:cs="Arial"/>
          <w:color w:val="000000" w:themeColor="text1"/>
        </w:rPr>
        <w:t>the ones of pharmaceutics</w:t>
      </w:r>
      <w:proofErr w:type="gramEnd"/>
      <w:r w:rsidRPr="00AE01E7">
        <w:rPr>
          <w:rFonts w:ascii="Arial" w:hAnsi="Arial" w:cs="Arial"/>
          <w:color w:val="000000" w:themeColor="text1"/>
        </w:rPr>
        <w:t xml:space="preserve">, nutrition, and cosmetic science. As for the latter, marine ingredients have been successfully included in cosmetic formulations for many decades, providing numerous benefits for the skin. In the present review, the contribution of marine </w:t>
      </w:r>
      <w:r w:rsidRPr="00AE01E7">
        <w:rPr>
          <w:rFonts w:ascii="Arial" w:hAnsi="Arial" w:cs="Arial"/>
          <w:color w:val="000000" w:themeColor="text1"/>
        </w:rPr>
        <w:lastRenderedPageBreak/>
        <w:t xml:space="preserve">compounds in wound healing is thoroughly discussed, focusing on their role both as active ingredients in suitable formulations, designed to contribute to different stages of skin regeneration and restoration </w:t>
      </w:r>
      <w:proofErr w:type="gramStart"/>
      <w:r w:rsidRPr="00AE01E7">
        <w:rPr>
          <w:rFonts w:ascii="Arial" w:hAnsi="Arial" w:cs="Arial"/>
          <w:color w:val="000000" w:themeColor="text1"/>
        </w:rPr>
        <w:t>and also</w:t>
      </w:r>
      <w:proofErr w:type="gramEnd"/>
      <w:r w:rsidRPr="00AE01E7">
        <w:rPr>
          <w:rFonts w:ascii="Arial" w:hAnsi="Arial" w:cs="Arial"/>
          <w:color w:val="000000" w:themeColor="text1"/>
        </w:rPr>
        <w:t xml:space="preserve">, indirectly, as a tool for facilitating wound closure as part of a wound dressing. Additionally, the advantages of these marine ingredients are presented, as well as ways of incorporating them effectively in formulations, </w:t>
      </w:r>
      <w:proofErr w:type="gramStart"/>
      <w:r w:rsidRPr="00AE01E7">
        <w:rPr>
          <w:rFonts w:ascii="Arial" w:hAnsi="Arial" w:cs="Arial"/>
          <w:color w:val="000000" w:themeColor="text1"/>
        </w:rPr>
        <w:t>so as to</w:t>
      </w:r>
      <w:proofErr w:type="gramEnd"/>
      <w:r w:rsidRPr="00AE01E7">
        <w:rPr>
          <w:rFonts w:ascii="Arial" w:hAnsi="Arial" w:cs="Arial"/>
          <w:color w:val="000000" w:themeColor="text1"/>
        </w:rPr>
        <w:t xml:space="preserve"> enhance their performance. Numerous studies have been referenced, showcasing their efficacy in wound healing. Finally, important data </w:t>
      </w:r>
      <w:proofErr w:type="gramStart"/>
      <w:r w:rsidRPr="00AE01E7">
        <w:rPr>
          <w:rFonts w:ascii="Arial" w:hAnsi="Arial" w:cs="Arial"/>
          <w:color w:val="000000" w:themeColor="text1"/>
        </w:rPr>
        <w:t>in regard to</w:t>
      </w:r>
      <w:proofErr w:type="gramEnd"/>
      <w:r w:rsidRPr="00AE01E7">
        <w:rPr>
          <w:rFonts w:ascii="Arial" w:hAnsi="Arial" w:cs="Arial"/>
          <w:color w:val="000000" w:themeColor="text1"/>
        </w:rPr>
        <w:t xml:space="preserve"> their stability, limitations, and challenges to their use, safety issues, and the existing legislative framework are extensively reviewed.</w:t>
      </w:r>
    </w:p>
    <w:p w14:paraId="5D208971" w14:textId="77777777" w:rsidR="00AB0DDA" w:rsidRDefault="00AB0DDA" w:rsidP="00AB0DDA">
      <w:pPr>
        <w:rPr>
          <w:rFonts w:ascii="Arial" w:hAnsi="Arial" w:cs="Arial"/>
          <w:bCs/>
          <w:color w:val="0D0D0D" w:themeColor="text1" w:themeTint="F2"/>
          <w:lang w:val="el-GR"/>
        </w:rPr>
      </w:pPr>
      <w:r w:rsidRPr="00597DE9">
        <w:rPr>
          <w:rFonts w:ascii="Arial" w:hAnsi="Arial" w:cs="Arial"/>
          <w:bCs/>
          <w:color w:val="0D0D0D" w:themeColor="text1" w:themeTint="F2"/>
          <w:lang w:val="el-GR"/>
        </w:rPr>
        <w:t xml:space="preserve">Επιβλέπουσα: </w:t>
      </w:r>
      <w:r>
        <w:rPr>
          <w:rFonts w:ascii="Arial" w:hAnsi="Arial" w:cs="Arial"/>
          <w:bCs/>
          <w:color w:val="0D0D0D" w:themeColor="text1" w:themeTint="F2"/>
          <w:lang w:val="el-GR"/>
        </w:rPr>
        <w:t>Φωτεινή Μέλλου</w:t>
      </w:r>
      <w:r w:rsidRPr="00597DE9">
        <w:rPr>
          <w:rFonts w:ascii="Arial" w:hAnsi="Arial" w:cs="Arial"/>
          <w:bCs/>
          <w:color w:val="0D0D0D" w:themeColor="text1" w:themeTint="F2"/>
          <w:lang w:val="el-GR"/>
        </w:rPr>
        <w:t xml:space="preserve">,  Μεταπτυχιακή φοιτήτρια: </w:t>
      </w:r>
      <w:r>
        <w:rPr>
          <w:rFonts w:ascii="Arial" w:hAnsi="Arial" w:cs="Arial"/>
          <w:bCs/>
          <w:color w:val="0D0D0D" w:themeColor="text1" w:themeTint="F2"/>
          <w:lang w:val="el-GR"/>
        </w:rPr>
        <w:t>Κάρμα Νεκταρία - Ιωάννα</w:t>
      </w:r>
    </w:p>
    <w:p w14:paraId="4445A6D7" w14:textId="77777777" w:rsidR="00AB0DDA" w:rsidRDefault="00AB0DDA" w:rsidP="00AB0DDA">
      <w:pPr>
        <w:rPr>
          <w:rFonts w:ascii="Arial" w:hAnsi="Arial" w:cs="Arial"/>
          <w:bCs/>
          <w:color w:val="0D0D0D" w:themeColor="text1" w:themeTint="F2"/>
          <w:lang w:val="el-GR"/>
        </w:rPr>
      </w:pPr>
    </w:p>
    <w:p w14:paraId="3F1E6A6F" w14:textId="77777777" w:rsidR="00AB0DDA" w:rsidRPr="00597DE9" w:rsidRDefault="00AB0DDA" w:rsidP="00AB0DDA">
      <w:pPr>
        <w:rPr>
          <w:rFonts w:ascii="Arial" w:hAnsi="Arial" w:cs="Arial"/>
          <w:bCs/>
          <w:color w:val="0D0D0D" w:themeColor="text1" w:themeTint="F2"/>
          <w:lang w:val="el-GR"/>
        </w:rPr>
      </w:pPr>
      <w:hyperlink r:id="rId7" w:history="1">
        <w:r w:rsidRPr="00CE0AD2">
          <w:rPr>
            <w:rStyle w:val="-"/>
            <w:rFonts w:ascii="Arial" w:hAnsi="Arial" w:cs="Arial"/>
            <w:bCs/>
            <w:lang w:val="el-GR"/>
          </w:rPr>
          <w:t>https://polynoe.lib.uniwa.gr/xmlui/handle/11400/5516</w:t>
        </w:r>
      </w:hyperlink>
    </w:p>
    <w:p w14:paraId="5B5916F2" w14:textId="77777777" w:rsidR="00AB0DDA" w:rsidRDefault="00AB0DDA" w:rsidP="00AB0DDA">
      <w:pPr>
        <w:rPr>
          <w:rFonts w:ascii="Arial" w:hAnsi="Arial" w:cs="Arial"/>
          <w:b/>
          <w:color w:val="FF0000"/>
          <w:lang w:val="el-GR"/>
        </w:rPr>
      </w:pPr>
    </w:p>
    <w:p w14:paraId="03D21C82" w14:textId="77777777" w:rsidR="00AB0DDA" w:rsidRDefault="00AB0DDA" w:rsidP="00AB0DDA">
      <w:pPr>
        <w:rPr>
          <w:rFonts w:ascii="Arial" w:hAnsi="Arial" w:cs="Arial"/>
          <w:b/>
          <w:color w:val="FF0000"/>
          <w:lang w:val="el-GR"/>
        </w:rPr>
      </w:pPr>
    </w:p>
    <w:p w14:paraId="2E9C4B7E" w14:textId="77777777" w:rsidR="00AB0DDA" w:rsidRPr="00C61E87" w:rsidRDefault="00AB0DDA" w:rsidP="00AB0DDA">
      <w:pPr>
        <w:rPr>
          <w:rFonts w:ascii="Arial" w:hAnsi="Arial" w:cs="Arial"/>
          <w:b/>
          <w:color w:val="FF0000"/>
        </w:rPr>
      </w:pPr>
      <w:r w:rsidRPr="00C61E87">
        <w:rPr>
          <w:rFonts w:ascii="Arial" w:hAnsi="Arial" w:cs="Arial"/>
          <w:b/>
          <w:color w:val="FF0000"/>
        </w:rPr>
        <w:t xml:space="preserve">Microchemical Journal, 2024 </w:t>
      </w:r>
      <w:hyperlink r:id="rId8" w:history="1">
        <w:r w:rsidRPr="00C61E87">
          <w:rPr>
            <w:rStyle w:val="-"/>
            <w:rFonts w:ascii="Arial" w:hAnsi="Arial" w:cs="Arial"/>
            <w:b/>
          </w:rPr>
          <w:t>https://doi.org/10.1016/j.microc.2024.111792</w:t>
        </w:r>
      </w:hyperlink>
    </w:p>
    <w:p w14:paraId="3D08F751" w14:textId="77777777" w:rsidR="00AB0DDA" w:rsidRPr="00C61E87" w:rsidRDefault="00AB0DDA" w:rsidP="00AB0DDA">
      <w:pPr>
        <w:rPr>
          <w:rFonts w:ascii="Arial" w:hAnsi="Arial" w:cs="Arial"/>
          <w:bCs/>
          <w:color w:val="000000" w:themeColor="text1"/>
        </w:rPr>
      </w:pPr>
      <w:hyperlink r:id="rId9" w:history="1">
        <w:r w:rsidRPr="00C61E87">
          <w:rPr>
            <w:rStyle w:val="-"/>
            <w:rFonts w:ascii="Arial" w:hAnsi="Arial" w:cs="Arial"/>
            <w:bCs/>
            <w:color w:val="000000" w:themeColor="text1"/>
          </w:rPr>
          <w:t>An extraction-free, smartphone-based approach for measuring the antioxidant capacity of emulsions using a paper-based DPPH assay</w:t>
        </w:r>
      </w:hyperlink>
    </w:p>
    <w:p w14:paraId="1C04B066" w14:textId="77777777" w:rsidR="00AB0DDA" w:rsidRPr="00D945B0" w:rsidRDefault="00AB0DDA" w:rsidP="00AB0DDA">
      <w:pPr>
        <w:rPr>
          <w:rFonts w:ascii="Arial" w:hAnsi="Arial" w:cs="Arial"/>
          <w:bCs/>
          <w:color w:val="0D0D0D" w:themeColor="text1" w:themeTint="F2"/>
        </w:rPr>
      </w:pPr>
      <w:hyperlink r:id="rId10" w:history="1">
        <w:r w:rsidRPr="00C61E87">
          <w:rPr>
            <w:rStyle w:val="-"/>
            <w:rFonts w:ascii="Arial" w:hAnsi="Arial" w:cs="Arial"/>
            <w:bCs/>
            <w:color w:val="0D0D0D" w:themeColor="text1" w:themeTint="F2"/>
          </w:rPr>
          <w:t>G</w:t>
        </w:r>
        <w:r w:rsidRPr="00D945B0">
          <w:rPr>
            <w:rStyle w:val="-"/>
            <w:rFonts w:ascii="Arial" w:hAnsi="Arial" w:cs="Arial"/>
            <w:bCs/>
            <w:color w:val="0D0D0D" w:themeColor="text1" w:themeTint="F2"/>
          </w:rPr>
          <w:t xml:space="preserve">eorgia </w:t>
        </w:r>
        <w:r w:rsidRPr="00C61E87">
          <w:rPr>
            <w:rStyle w:val="-"/>
            <w:rFonts w:ascii="Arial" w:hAnsi="Arial" w:cs="Arial"/>
            <w:bCs/>
            <w:color w:val="0D0D0D" w:themeColor="text1" w:themeTint="F2"/>
          </w:rPr>
          <w:t>E</w:t>
        </w:r>
        <w:r w:rsidRPr="00D945B0">
          <w:rPr>
            <w:rStyle w:val="-"/>
            <w:rFonts w:ascii="Arial" w:hAnsi="Arial" w:cs="Arial"/>
            <w:bCs/>
            <w:color w:val="0D0D0D" w:themeColor="text1" w:themeTint="F2"/>
          </w:rPr>
          <w:t>leni</w:t>
        </w:r>
        <w:r w:rsidRPr="00C61E87">
          <w:rPr>
            <w:rStyle w:val="-"/>
            <w:rFonts w:ascii="Arial" w:hAnsi="Arial" w:cs="Arial"/>
            <w:bCs/>
            <w:color w:val="0D0D0D" w:themeColor="text1" w:themeTint="F2"/>
          </w:rPr>
          <w:t> </w:t>
        </w:r>
        <w:proofErr w:type="spellStart"/>
        <w:r w:rsidRPr="00C61E87">
          <w:rPr>
            <w:rStyle w:val="-"/>
            <w:rFonts w:ascii="Arial" w:hAnsi="Arial" w:cs="Arial"/>
            <w:bCs/>
            <w:color w:val="0D0D0D" w:themeColor="text1" w:themeTint="F2"/>
          </w:rPr>
          <w:t>Tsotsou</w:t>
        </w:r>
        <w:proofErr w:type="spellEnd"/>
      </w:hyperlink>
      <w:r w:rsidRPr="00D945B0">
        <w:rPr>
          <w:rFonts w:ascii="Arial" w:hAnsi="Arial" w:cs="Arial"/>
          <w:bCs/>
          <w:color w:val="0D0D0D" w:themeColor="text1" w:themeTint="F2"/>
        </w:rPr>
        <w:t xml:space="preserve"> </w:t>
      </w:r>
      <w:proofErr w:type="gramStart"/>
      <w:r w:rsidRPr="00D945B0">
        <w:rPr>
          <w:rFonts w:ascii="Arial" w:hAnsi="Arial" w:cs="Arial"/>
          <w:bCs/>
          <w:color w:val="0D0D0D" w:themeColor="text1" w:themeTint="F2"/>
        </w:rPr>
        <w:t xml:space="preserve">and </w:t>
      </w:r>
      <w:r w:rsidRPr="00C61E87">
        <w:rPr>
          <w:rFonts w:ascii="Arial" w:hAnsi="Arial" w:cs="Arial"/>
          <w:bCs/>
          <w:color w:val="0D0D0D" w:themeColor="text1" w:themeTint="F2"/>
        </w:rPr>
        <w:t xml:space="preserve"> P</w:t>
      </w:r>
      <w:r w:rsidRPr="00D945B0">
        <w:rPr>
          <w:rFonts w:ascii="Arial" w:hAnsi="Arial" w:cs="Arial"/>
          <w:bCs/>
          <w:color w:val="0D0D0D" w:themeColor="text1" w:themeTint="F2"/>
        </w:rPr>
        <w:t>araskevi</w:t>
      </w:r>
      <w:proofErr w:type="gramEnd"/>
      <w:r w:rsidRPr="00D945B0">
        <w:rPr>
          <w:rFonts w:ascii="Arial" w:hAnsi="Arial" w:cs="Arial"/>
          <w:bCs/>
          <w:color w:val="0D0D0D" w:themeColor="text1" w:themeTint="F2"/>
        </w:rPr>
        <w:t xml:space="preserve"> </w:t>
      </w:r>
      <w:r w:rsidRPr="00C61E87">
        <w:rPr>
          <w:rFonts w:ascii="Arial" w:hAnsi="Arial" w:cs="Arial"/>
          <w:bCs/>
          <w:color w:val="0D0D0D" w:themeColor="text1" w:themeTint="F2"/>
        </w:rPr>
        <w:t>E</w:t>
      </w:r>
      <w:r w:rsidRPr="00D945B0">
        <w:rPr>
          <w:rFonts w:ascii="Arial" w:hAnsi="Arial" w:cs="Arial"/>
          <w:bCs/>
          <w:color w:val="0D0D0D" w:themeColor="text1" w:themeTint="F2"/>
        </w:rPr>
        <w:t xml:space="preserve">vi </w:t>
      </w:r>
      <w:r w:rsidRPr="00C61E87">
        <w:rPr>
          <w:rFonts w:ascii="Arial" w:hAnsi="Arial" w:cs="Arial"/>
          <w:bCs/>
          <w:color w:val="0D0D0D" w:themeColor="text1" w:themeTint="F2"/>
        </w:rPr>
        <w:t>Paraskevopoulou </w:t>
      </w:r>
    </w:p>
    <w:p w14:paraId="7AF007F3" w14:textId="77777777" w:rsidR="00AB0DDA" w:rsidRPr="00C61E87" w:rsidRDefault="00AB0DDA" w:rsidP="00AB0DDA">
      <w:pPr>
        <w:jc w:val="both"/>
        <w:rPr>
          <w:rFonts w:ascii="Arial" w:hAnsi="Arial" w:cs="Arial"/>
          <w:bCs/>
          <w:color w:val="0D0D0D" w:themeColor="text1" w:themeTint="F2"/>
        </w:rPr>
      </w:pPr>
      <w:r>
        <w:rPr>
          <w:rFonts w:ascii="Arial" w:hAnsi="Arial" w:cs="Arial"/>
          <w:bCs/>
          <w:color w:val="0D0D0D" w:themeColor="text1" w:themeTint="F2"/>
        </w:rPr>
        <w:t xml:space="preserve">ABSTRACT </w:t>
      </w:r>
      <w:r w:rsidRPr="00FE332B">
        <w:rPr>
          <w:rFonts w:ascii="Arial" w:hAnsi="Arial" w:cs="Arial"/>
          <w:bCs/>
          <w:color w:val="0D0D0D" w:themeColor="text1" w:themeTint="F2"/>
        </w:rPr>
        <w:t>This manuscript introduces a novel, green, paper-based format for directly quantifying antioxidant capacity in emulsions using the DPPH assay. This method eliminates the need for extraction or any other pre-treatment steps. Quantification relies on analyzing the color intensity captured by a digital camera. The optimization of assay parameters is described in terms of reagent concentration, reaction time and color channel for monitoring. The assay demonstrates a linear relationship between antioxidant concentration and camera-captured color intensity, for both water soluble and non-soluble antioxidants: a correlation coefficient of at least 0.965 was calculated upon fitting the antioxidant concentration versus color intensity data to the linear model, which is an indicator of their strong linear correlation. Half-maximal effective concentrations were calculated and aligned with literature reports. The ability to incorporate higher concentrations of non-polar compounds in emulsions allowed for studying antioxidants like α-</w:t>
      </w:r>
      <w:proofErr w:type="spellStart"/>
      <w:r w:rsidRPr="00FE332B">
        <w:rPr>
          <w:rFonts w:ascii="Arial" w:hAnsi="Arial" w:cs="Arial"/>
          <w:bCs/>
          <w:color w:val="0D0D0D" w:themeColor="text1" w:themeTint="F2"/>
        </w:rPr>
        <w:t>tocopheryl</w:t>
      </w:r>
      <w:proofErr w:type="spellEnd"/>
      <w:r w:rsidRPr="00FE332B">
        <w:rPr>
          <w:rFonts w:ascii="Arial" w:hAnsi="Arial" w:cs="Arial"/>
          <w:bCs/>
          <w:color w:val="0D0D0D" w:themeColor="text1" w:themeTint="F2"/>
        </w:rPr>
        <w:t xml:space="preserve"> acetate, which are typically limited by solubility in solution-based assays. Acceptable technical parameters were obtained for vitamin C in an oil-in-water emulsion: the coefficient of variation was ≤18.4 %, while the relative error was ≤±11.9 %, across quality control levels. Analysis of commercial samples showed a relative error of ≤±7.7 %. The pros of the proposed format are being discussed in terms of its green character and simplicity and the possibility to provide a more realistic assessment of antioxidant effectiveness in emulsions. An additional advantage is the possibility to study the radical quenching capacity of highly insoluble compounds, which is a limitation of conventional solution-based assays. Cons are also considered mainly with regards to the inability of the assay to follow the kinetics of the radical scavenging reaction, making it suitable for measuring antioxidant capacity rather than activity.</w:t>
      </w:r>
    </w:p>
    <w:p w14:paraId="656DFFBE" w14:textId="77777777" w:rsidR="00AB0DDA" w:rsidRPr="00597DE9" w:rsidRDefault="00AB0DDA" w:rsidP="00AB0DDA">
      <w:pPr>
        <w:rPr>
          <w:rFonts w:ascii="Arial" w:hAnsi="Arial" w:cs="Arial"/>
          <w:bCs/>
          <w:color w:val="0D0D0D" w:themeColor="text1" w:themeTint="F2"/>
          <w:lang w:val="el-GR"/>
        </w:rPr>
      </w:pPr>
      <w:r w:rsidRPr="00597DE9">
        <w:rPr>
          <w:rFonts w:ascii="Arial" w:hAnsi="Arial" w:cs="Arial"/>
          <w:bCs/>
          <w:color w:val="0D0D0D" w:themeColor="text1" w:themeTint="F2"/>
          <w:lang w:val="el-GR"/>
        </w:rPr>
        <w:t xml:space="preserve">Επιβλέπουσα: Γεωργία Ελένη </w:t>
      </w:r>
      <w:proofErr w:type="spellStart"/>
      <w:r w:rsidRPr="00597DE9">
        <w:rPr>
          <w:rFonts w:ascii="Arial" w:hAnsi="Arial" w:cs="Arial"/>
          <w:bCs/>
          <w:color w:val="0D0D0D" w:themeColor="text1" w:themeTint="F2"/>
          <w:lang w:val="el-GR"/>
        </w:rPr>
        <w:t>Τσότσου</w:t>
      </w:r>
      <w:proofErr w:type="spellEnd"/>
      <w:r w:rsidRPr="00597DE9">
        <w:rPr>
          <w:rFonts w:ascii="Arial" w:hAnsi="Arial" w:cs="Arial"/>
          <w:bCs/>
          <w:color w:val="0D0D0D" w:themeColor="text1" w:themeTint="F2"/>
          <w:lang w:val="el-GR"/>
        </w:rPr>
        <w:t>,  Μεταπτυχιακή φοιτήτρια: Παρασκευή Εύη Παρασκευοπούλου</w:t>
      </w:r>
    </w:p>
    <w:p w14:paraId="5605C66B" w14:textId="77777777" w:rsidR="00AB0DDA" w:rsidRDefault="00AB0DDA" w:rsidP="00AB0DDA">
      <w:pPr>
        <w:rPr>
          <w:rFonts w:ascii="Arial" w:hAnsi="Arial" w:cs="Arial"/>
          <w:b/>
          <w:color w:val="FF0000"/>
          <w:lang w:val="el-GR"/>
        </w:rPr>
      </w:pPr>
    </w:p>
    <w:p w14:paraId="3699CFF6" w14:textId="77777777" w:rsidR="00AB0DDA" w:rsidRPr="003F0873" w:rsidRDefault="00AB0DDA" w:rsidP="00AB0DDA">
      <w:pPr>
        <w:rPr>
          <w:rFonts w:ascii="Arial" w:hAnsi="Arial" w:cs="Arial"/>
          <w:b/>
          <w:color w:val="FF0000"/>
        </w:rPr>
      </w:pPr>
      <w:proofErr w:type="spellStart"/>
      <w:proofErr w:type="gramStart"/>
      <w:r>
        <w:rPr>
          <w:rFonts w:ascii="Arial" w:hAnsi="Arial" w:cs="Arial"/>
          <w:b/>
          <w:color w:val="FF0000"/>
        </w:rPr>
        <w:t>Pharmakeftiki</w:t>
      </w:r>
      <w:proofErr w:type="spellEnd"/>
      <w:r>
        <w:rPr>
          <w:rFonts w:ascii="Arial" w:hAnsi="Arial" w:cs="Arial"/>
          <w:b/>
          <w:color w:val="FF0000"/>
        </w:rPr>
        <w:t xml:space="preserve"> </w:t>
      </w:r>
      <w:r w:rsidRPr="00B3615E">
        <w:rPr>
          <w:rFonts w:ascii="Arial" w:hAnsi="Arial" w:cs="Arial"/>
          <w:b/>
          <w:color w:val="FF0000"/>
        </w:rPr>
        <w:t xml:space="preserve"> </w:t>
      </w:r>
      <w:r>
        <w:rPr>
          <w:rFonts w:ascii="Arial" w:hAnsi="Arial" w:cs="Arial"/>
          <w:b/>
          <w:color w:val="FF0000"/>
        </w:rPr>
        <w:t>vol</w:t>
      </w:r>
      <w:proofErr w:type="gramEnd"/>
      <w:r>
        <w:rPr>
          <w:rFonts w:ascii="Arial" w:hAnsi="Arial" w:cs="Arial"/>
          <w:b/>
          <w:color w:val="FF0000"/>
        </w:rPr>
        <w:t xml:space="preserve"> 36 Issue 1, 2024 </w:t>
      </w:r>
      <w:hyperlink r:id="rId11" w:history="1">
        <w:r w:rsidRPr="00B3615E">
          <w:rPr>
            <w:rStyle w:val="-"/>
            <w:rFonts w:ascii="Arial" w:hAnsi="Arial" w:cs="Arial"/>
            <w:b/>
          </w:rPr>
          <w:t>DOI: https://doi.org/10.60988/pj.v36i1.25</w:t>
        </w:r>
      </w:hyperlink>
    </w:p>
    <w:p w14:paraId="45CBE915" w14:textId="77777777" w:rsidR="00AB0DDA" w:rsidRPr="003F0873" w:rsidRDefault="00AB0DDA" w:rsidP="00AB0DDA">
      <w:pPr>
        <w:rPr>
          <w:rFonts w:ascii="Arial" w:hAnsi="Arial" w:cs="Arial"/>
          <w:b/>
          <w:vanish/>
          <w:color w:val="FF0000"/>
          <w:lang w:val="el-GR"/>
        </w:rPr>
      </w:pPr>
      <w:r w:rsidRPr="003F0873">
        <w:rPr>
          <w:rFonts w:ascii="Arial" w:hAnsi="Arial" w:cs="Arial"/>
          <w:b/>
          <w:vanish/>
          <w:color w:val="FF0000"/>
          <w:lang w:val="el-GR"/>
        </w:rPr>
        <w:t>Αρχή φόρμας</w:t>
      </w:r>
    </w:p>
    <w:p w14:paraId="3AB9A6DE" w14:textId="77777777" w:rsidR="00AB0DDA" w:rsidRPr="003F0873" w:rsidRDefault="00AB0DDA" w:rsidP="00AB0DDA">
      <w:pPr>
        <w:rPr>
          <w:rFonts w:ascii="Arial" w:hAnsi="Arial" w:cs="Arial"/>
          <w:b/>
          <w:vanish/>
          <w:color w:val="FF0000"/>
          <w:lang w:val="el-GR"/>
        </w:rPr>
      </w:pPr>
      <w:r w:rsidRPr="003F0873">
        <w:rPr>
          <w:rFonts w:ascii="Arial" w:hAnsi="Arial" w:cs="Arial"/>
          <w:b/>
          <w:vanish/>
          <w:color w:val="FF0000"/>
          <w:lang w:val="el-GR"/>
        </w:rPr>
        <w:t>Τέλος φόρμας</w:t>
      </w:r>
    </w:p>
    <w:p w14:paraId="7F435D20" w14:textId="77777777" w:rsidR="00AB0DDA" w:rsidRDefault="00AB0DDA" w:rsidP="00AB0DDA">
      <w:pPr>
        <w:rPr>
          <w:rFonts w:ascii="Arial" w:hAnsi="Arial" w:cs="Arial"/>
          <w:b/>
          <w:color w:val="FF0000"/>
        </w:rPr>
      </w:pPr>
      <w:hyperlink r:id="rId12" w:history="1">
        <w:r w:rsidRPr="003F0873">
          <w:rPr>
            <w:rStyle w:val="-"/>
            <w:rFonts w:ascii="Arial" w:hAnsi="Arial" w:cs="Arial"/>
            <w:b/>
          </w:rPr>
          <w:t>Novel Forms of Hyaluronic Acid and Applications in Cosmetic Products</w:t>
        </w:r>
      </w:hyperlink>
    </w:p>
    <w:p w14:paraId="56588398" w14:textId="77777777" w:rsidR="00AB0DDA" w:rsidRDefault="00AB0DDA" w:rsidP="00AB0DDA">
      <w:pPr>
        <w:rPr>
          <w:rFonts w:ascii="Arial" w:hAnsi="Arial" w:cs="Arial"/>
          <w:bCs/>
        </w:rPr>
      </w:pPr>
      <w:r w:rsidRPr="003F0873">
        <w:rPr>
          <w:rFonts w:ascii="Arial" w:hAnsi="Arial" w:cs="Arial"/>
          <w:bCs/>
        </w:rPr>
        <w:t xml:space="preserve">Evangelia Theodosiou, Fotini </w:t>
      </w:r>
      <w:proofErr w:type="spellStart"/>
      <w:r w:rsidRPr="003F0873">
        <w:rPr>
          <w:rFonts w:ascii="Arial" w:hAnsi="Arial" w:cs="Arial"/>
          <w:bCs/>
        </w:rPr>
        <w:t>Mellou</w:t>
      </w:r>
      <w:proofErr w:type="spellEnd"/>
      <w:r w:rsidRPr="003F0873">
        <w:rPr>
          <w:rFonts w:ascii="Arial" w:hAnsi="Arial" w:cs="Arial"/>
          <w:bCs/>
        </w:rPr>
        <w:t>, Athanasia Varvaresou, Spyridon Papageorgiou, Apostolos Papadopoulos</w:t>
      </w:r>
    </w:p>
    <w:p w14:paraId="1CBD3883" w14:textId="77777777" w:rsidR="00AB0DDA" w:rsidRPr="00B3615E" w:rsidRDefault="00AB0DDA" w:rsidP="00AB0DDA">
      <w:pPr>
        <w:jc w:val="both"/>
        <w:rPr>
          <w:rFonts w:ascii="Arial" w:hAnsi="Arial" w:cs="Arial"/>
          <w:b/>
          <w:bCs/>
        </w:rPr>
      </w:pPr>
      <w:r w:rsidRPr="00B3615E">
        <w:rPr>
          <w:rFonts w:ascii="Arial" w:hAnsi="Arial" w:cs="Arial"/>
          <w:b/>
          <w:bCs/>
        </w:rPr>
        <w:t>Abstract</w:t>
      </w:r>
    </w:p>
    <w:p w14:paraId="222DA859" w14:textId="77777777" w:rsidR="00AB0DDA" w:rsidRPr="00B3615E" w:rsidRDefault="00AB0DDA" w:rsidP="00AB0DDA">
      <w:pPr>
        <w:spacing w:after="0"/>
        <w:jc w:val="both"/>
        <w:rPr>
          <w:rFonts w:ascii="Arial" w:hAnsi="Arial" w:cs="Arial"/>
          <w:bCs/>
        </w:rPr>
      </w:pPr>
      <w:r w:rsidRPr="00B3615E">
        <w:rPr>
          <w:rFonts w:ascii="Arial" w:hAnsi="Arial" w:cs="Arial"/>
          <w:bCs/>
        </w:rPr>
        <w:t>Hyaluronic acid (HA) is a natural component of the body and especially of the skin, which exerts an important role in its hydration, regeneration and healing process.</w:t>
      </w:r>
      <w:r w:rsidRPr="00B3615E">
        <w:rPr>
          <w:rFonts w:ascii="Arial" w:hAnsi="Arial" w:cs="Arial"/>
          <w:bCs/>
        </w:rPr>
        <w:br/>
        <w:t xml:space="preserve">HA has shown a wide range of pharmacological activities such as anti-inflammatory, immunomodulatory, antitumor, antidiabetic, antiaging and skin repair. Moreover, HA contributes </w:t>
      </w:r>
      <w:proofErr w:type="gramStart"/>
      <w:r w:rsidRPr="00B3615E">
        <w:rPr>
          <w:rFonts w:ascii="Arial" w:hAnsi="Arial" w:cs="Arial"/>
          <w:bCs/>
        </w:rPr>
        <w:t>in</w:t>
      </w:r>
      <w:proofErr w:type="gramEnd"/>
      <w:r w:rsidRPr="00B3615E">
        <w:rPr>
          <w:rFonts w:ascii="Arial" w:hAnsi="Arial" w:cs="Arial"/>
          <w:bCs/>
        </w:rPr>
        <w:t xml:space="preserve"> regulating various biological processes and maintaining homeostasis in the body.</w:t>
      </w:r>
      <w:r w:rsidRPr="00B3615E">
        <w:rPr>
          <w:rFonts w:ascii="Arial" w:hAnsi="Arial" w:cs="Arial"/>
          <w:bCs/>
        </w:rPr>
        <w:br/>
        <w:t>However, with increasing age, HA is not reproduced as quickly as it is degraded, contributing to the atrophy, dehydration and loss of elasticity of the skin. In addition, exposure to UV radiation, pollutants and stress lead to increased HA degradation and a subsequent decrease in its protection from free radicals, contributing further to premature aging.</w:t>
      </w:r>
      <w:r w:rsidRPr="00B3615E">
        <w:rPr>
          <w:rFonts w:ascii="Arial" w:hAnsi="Arial" w:cs="Arial"/>
          <w:bCs/>
        </w:rPr>
        <w:br/>
        <w:t>The great potential of HA in cosmetic science has stimulated the interest of cosmetic industry which, through new technologies, can produce hyaluronic acid and several novel derivatives in order to increase both its residence time in various human tissues and its anti-inflammatory properties. The present study includes different types and ways of incorporating HA into cosmetic products to optimize its dermal delivery as well as to increase the action of this cosmetic ingredient.</w:t>
      </w:r>
    </w:p>
    <w:p w14:paraId="4CA01EFF" w14:textId="77777777" w:rsidR="00AB0DDA" w:rsidRPr="003F0873" w:rsidRDefault="00AB0DDA" w:rsidP="00AB0DDA">
      <w:pPr>
        <w:spacing w:after="0"/>
        <w:jc w:val="both"/>
        <w:rPr>
          <w:rFonts w:ascii="Arial" w:hAnsi="Arial" w:cs="Arial"/>
          <w:bCs/>
        </w:rPr>
      </w:pPr>
    </w:p>
    <w:p w14:paraId="35D1ED1C" w14:textId="77777777" w:rsidR="00AB0DDA" w:rsidRDefault="00AB0DDA" w:rsidP="00AB0DDA">
      <w:pPr>
        <w:rPr>
          <w:rFonts w:ascii="Arial" w:hAnsi="Arial" w:cs="Arial"/>
          <w:bCs/>
          <w:color w:val="0D0D0D" w:themeColor="text1" w:themeTint="F2"/>
          <w:lang w:val="el-GR"/>
        </w:rPr>
      </w:pPr>
      <w:r w:rsidRPr="00597DE9">
        <w:rPr>
          <w:rFonts w:ascii="Arial" w:hAnsi="Arial" w:cs="Arial"/>
          <w:bCs/>
          <w:color w:val="0D0D0D" w:themeColor="text1" w:themeTint="F2"/>
          <w:lang w:val="el-GR"/>
        </w:rPr>
        <w:t xml:space="preserve">Επιβλέπουσα: </w:t>
      </w:r>
      <w:r>
        <w:rPr>
          <w:rFonts w:ascii="Arial" w:hAnsi="Arial" w:cs="Arial"/>
          <w:bCs/>
          <w:color w:val="0D0D0D" w:themeColor="text1" w:themeTint="F2"/>
          <w:lang w:val="el-GR"/>
        </w:rPr>
        <w:t>Φωτεινή Μέλλου</w:t>
      </w:r>
      <w:r w:rsidRPr="00597DE9">
        <w:rPr>
          <w:rFonts w:ascii="Arial" w:hAnsi="Arial" w:cs="Arial"/>
          <w:bCs/>
          <w:color w:val="0D0D0D" w:themeColor="text1" w:themeTint="F2"/>
          <w:lang w:val="el-GR"/>
        </w:rPr>
        <w:t xml:space="preserve">,  Μεταπτυχιακή φοιτήτρια: </w:t>
      </w:r>
      <w:r>
        <w:rPr>
          <w:rFonts w:ascii="Arial" w:hAnsi="Arial" w:cs="Arial"/>
          <w:bCs/>
          <w:color w:val="0D0D0D" w:themeColor="text1" w:themeTint="F2"/>
          <w:lang w:val="el-GR"/>
        </w:rPr>
        <w:t>Ευαγγελία Θεοδοσίου</w:t>
      </w:r>
    </w:p>
    <w:p w14:paraId="51822828" w14:textId="77777777" w:rsidR="00AB0DDA" w:rsidRPr="00597DE9" w:rsidRDefault="00AB0DDA" w:rsidP="00AB0DDA">
      <w:pPr>
        <w:rPr>
          <w:rFonts w:ascii="Arial" w:hAnsi="Arial" w:cs="Arial"/>
          <w:bCs/>
          <w:color w:val="0D0D0D" w:themeColor="text1" w:themeTint="F2"/>
          <w:lang w:val="el-GR"/>
        </w:rPr>
      </w:pPr>
      <w:hyperlink r:id="rId13" w:history="1">
        <w:r w:rsidRPr="00803C49">
          <w:rPr>
            <w:rStyle w:val="-"/>
            <w:rFonts w:ascii="Arial" w:hAnsi="Arial" w:cs="Arial"/>
            <w:bCs/>
            <w:color w:val="4B8090" w:themeColor="hyperlink" w:themeTint="F2"/>
            <w:lang w:val="el-GR"/>
          </w:rPr>
          <w:t>https://polynoe.lib.uniwa.gr/xmlui/handle/11400/4035</w:t>
        </w:r>
      </w:hyperlink>
    </w:p>
    <w:p w14:paraId="094B7055" w14:textId="77777777" w:rsidR="00AB0DDA" w:rsidRPr="00597DE9" w:rsidRDefault="00AB0DDA" w:rsidP="00AB0DDA">
      <w:pPr>
        <w:rPr>
          <w:rFonts w:ascii="Arial" w:hAnsi="Arial" w:cs="Arial"/>
          <w:b/>
          <w:color w:val="FF0000"/>
          <w:lang w:val="el-GR"/>
        </w:rPr>
      </w:pPr>
    </w:p>
    <w:p w14:paraId="2E2132A3" w14:textId="77777777" w:rsidR="00AB0DDA" w:rsidRPr="00597DE9" w:rsidRDefault="00AB0DDA" w:rsidP="00AB0DDA">
      <w:pPr>
        <w:rPr>
          <w:rFonts w:ascii="Arial" w:hAnsi="Arial" w:cs="Arial"/>
          <w:b/>
          <w:color w:val="FF0000"/>
          <w:lang w:val="el-GR"/>
        </w:rPr>
      </w:pPr>
    </w:p>
    <w:p w14:paraId="4AA0752D" w14:textId="77777777" w:rsidR="00AB0DDA" w:rsidRPr="00597DE9" w:rsidRDefault="00AB0DDA" w:rsidP="00AB0DDA">
      <w:pPr>
        <w:rPr>
          <w:rFonts w:ascii="Arial" w:hAnsi="Arial" w:cs="Arial"/>
          <w:b/>
          <w:color w:val="FF0000"/>
          <w:lang w:val="el-GR"/>
        </w:rPr>
      </w:pPr>
    </w:p>
    <w:p w14:paraId="08BC10A6" w14:textId="77777777" w:rsidR="00AB0DDA" w:rsidRPr="00597DE9" w:rsidRDefault="00AB0DDA" w:rsidP="00AB0DDA">
      <w:pPr>
        <w:rPr>
          <w:rFonts w:ascii="Arial" w:hAnsi="Arial" w:cs="Arial"/>
          <w:b/>
          <w:color w:val="FF0000"/>
          <w:lang w:val="el-GR"/>
        </w:rPr>
      </w:pPr>
    </w:p>
    <w:p w14:paraId="41D5AB2D" w14:textId="77777777" w:rsidR="004E483C" w:rsidRPr="00AB0DDA" w:rsidRDefault="004E483C">
      <w:pPr>
        <w:rPr>
          <w:lang w:val="el-GR"/>
        </w:rPr>
      </w:pPr>
    </w:p>
    <w:sectPr w:rsidR="004E483C" w:rsidRPr="00AB0DD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A1"/>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A1"/>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F87"/>
    <w:rsid w:val="00145F87"/>
    <w:rsid w:val="00343AA5"/>
    <w:rsid w:val="004E483C"/>
    <w:rsid w:val="007472DB"/>
    <w:rsid w:val="00AB0DDA"/>
    <w:rsid w:val="00F626E9"/>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1B826D"/>
  <w15:chartTrackingRefBased/>
  <w15:docId w15:val="{8E642979-217B-45D2-AF70-24BF20CB9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l-GR"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0DDA"/>
    <w:rPr>
      <w:kern w:val="0"/>
      <w:lang w:val="en-US" w:bidi="ar-SA"/>
      <w14:ligatures w14:val="none"/>
    </w:rPr>
  </w:style>
  <w:style w:type="paragraph" w:styleId="1">
    <w:name w:val="heading 1"/>
    <w:basedOn w:val="a"/>
    <w:next w:val="a"/>
    <w:link w:val="1Char"/>
    <w:uiPriority w:val="9"/>
    <w:qFormat/>
    <w:rsid w:val="00145F87"/>
    <w:pPr>
      <w:keepNext/>
      <w:keepLines/>
      <w:spacing w:before="360" w:after="80"/>
      <w:outlineLvl w:val="0"/>
    </w:pPr>
    <w:rPr>
      <w:rFonts w:asciiTheme="majorHAnsi" w:eastAsiaTheme="majorEastAsia" w:hAnsiTheme="majorHAnsi" w:cstheme="majorBidi"/>
      <w:color w:val="0F4761" w:themeColor="accent1" w:themeShade="BF"/>
      <w:kern w:val="2"/>
      <w:sz w:val="40"/>
      <w:szCs w:val="40"/>
      <w:lang w:val="el-GR" w:bidi="he-IL"/>
      <w14:ligatures w14:val="standardContextual"/>
    </w:rPr>
  </w:style>
  <w:style w:type="paragraph" w:styleId="2">
    <w:name w:val="heading 2"/>
    <w:basedOn w:val="a"/>
    <w:next w:val="a"/>
    <w:link w:val="2Char"/>
    <w:uiPriority w:val="9"/>
    <w:semiHidden/>
    <w:unhideWhenUsed/>
    <w:qFormat/>
    <w:rsid w:val="00145F87"/>
    <w:pPr>
      <w:keepNext/>
      <w:keepLines/>
      <w:spacing w:before="160" w:after="80"/>
      <w:outlineLvl w:val="1"/>
    </w:pPr>
    <w:rPr>
      <w:rFonts w:asciiTheme="majorHAnsi" w:eastAsiaTheme="majorEastAsia" w:hAnsiTheme="majorHAnsi" w:cstheme="majorBidi"/>
      <w:color w:val="0F4761" w:themeColor="accent1" w:themeShade="BF"/>
      <w:kern w:val="2"/>
      <w:sz w:val="32"/>
      <w:szCs w:val="32"/>
      <w:lang w:val="el-GR" w:bidi="he-IL"/>
      <w14:ligatures w14:val="standardContextual"/>
    </w:rPr>
  </w:style>
  <w:style w:type="paragraph" w:styleId="3">
    <w:name w:val="heading 3"/>
    <w:basedOn w:val="a"/>
    <w:next w:val="a"/>
    <w:link w:val="3Char"/>
    <w:uiPriority w:val="9"/>
    <w:semiHidden/>
    <w:unhideWhenUsed/>
    <w:qFormat/>
    <w:rsid w:val="00145F87"/>
    <w:pPr>
      <w:keepNext/>
      <w:keepLines/>
      <w:spacing w:before="160" w:after="80"/>
      <w:outlineLvl w:val="2"/>
    </w:pPr>
    <w:rPr>
      <w:rFonts w:eastAsiaTheme="majorEastAsia" w:cstheme="majorBidi"/>
      <w:color w:val="0F4761" w:themeColor="accent1" w:themeShade="BF"/>
      <w:kern w:val="2"/>
      <w:sz w:val="28"/>
      <w:szCs w:val="28"/>
      <w:lang w:val="el-GR" w:bidi="he-IL"/>
      <w14:ligatures w14:val="standardContextual"/>
    </w:rPr>
  </w:style>
  <w:style w:type="paragraph" w:styleId="4">
    <w:name w:val="heading 4"/>
    <w:basedOn w:val="a"/>
    <w:next w:val="a"/>
    <w:link w:val="4Char"/>
    <w:uiPriority w:val="9"/>
    <w:semiHidden/>
    <w:unhideWhenUsed/>
    <w:qFormat/>
    <w:rsid w:val="00145F87"/>
    <w:pPr>
      <w:keepNext/>
      <w:keepLines/>
      <w:spacing w:before="80" w:after="40"/>
      <w:outlineLvl w:val="3"/>
    </w:pPr>
    <w:rPr>
      <w:rFonts w:eastAsiaTheme="majorEastAsia" w:cstheme="majorBidi"/>
      <w:i/>
      <w:iCs/>
      <w:color w:val="0F4761" w:themeColor="accent1" w:themeShade="BF"/>
      <w:kern w:val="2"/>
      <w:lang w:val="el-GR" w:bidi="he-IL"/>
      <w14:ligatures w14:val="standardContextual"/>
    </w:rPr>
  </w:style>
  <w:style w:type="paragraph" w:styleId="5">
    <w:name w:val="heading 5"/>
    <w:basedOn w:val="a"/>
    <w:next w:val="a"/>
    <w:link w:val="5Char"/>
    <w:uiPriority w:val="9"/>
    <w:semiHidden/>
    <w:unhideWhenUsed/>
    <w:qFormat/>
    <w:rsid w:val="00145F87"/>
    <w:pPr>
      <w:keepNext/>
      <w:keepLines/>
      <w:spacing w:before="80" w:after="40"/>
      <w:outlineLvl w:val="4"/>
    </w:pPr>
    <w:rPr>
      <w:rFonts w:eastAsiaTheme="majorEastAsia" w:cstheme="majorBidi"/>
      <w:color w:val="0F4761" w:themeColor="accent1" w:themeShade="BF"/>
      <w:kern w:val="2"/>
      <w:lang w:val="el-GR" w:bidi="he-IL"/>
      <w14:ligatures w14:val="standardContextual"/>
    </w:rPr>
  </w:style>
  <w:style w:type="paragraph" w:styleId="6">
    <w:name w:val="heading 6"/>
    <w:basedOn w:val="a"/>
    <w:next w:val="a"/>
    <w:link w:val="6Char"/>
    <w:uiPriority w:val="9"/>
    <w:semiHidden/>
    <w:unhideWhenUsed/>
    <w:qFormat/>
    <w:rsid w:val="00145F87"/>
    <w:pPr>
      <w:keepNext/>
      <w:keepLines/>
      <w:spacing w:before="40" w:after="0"/>
      <w:outlineLvl w:val="5"/>
    </w:pPr>
    <w:rPr>
      <w:rFonts w:eastAsiaTheme="majorEastAsia" w:cstheme="majorBidi"/>
      <w:i/>
      <w:iCs/>
      <w:color w:val="595959" w:themeColor="text1" w:themeTint="A6"/>
      <w:kern w:val="2"/>
      <w:lang w:val="el-GR" w:bidi="he-IL"/>
      <w14:ligatures w14:val="standardContextual"/>
    </w:rPr>
  </w:style>
  <w:style w:type="paragraph" w:styleId="7">
    <w:name w:val="heading 7"/>
    <w:basedOn w:val="a"/>
    <w:next w:val="a"/>
    <w:link w:val="7Char"/>
    <w:uiPriority w:val="9"/>
    <w:semiHidden/>
    <w:unhideWhenUsed/>
    <w:qFormat/>
    <w:rsid w:val="00145F87"/>
    <w:pPr>
      <w:keepNext/>
      <w:keepLines/>
      <w:spacing w:before="40" w:after="0"/>
      <w:outlineLvl w:val="6"/>
    </w:pPr>
    <w:rPr>
      <w:rFonts w:eastAsiaTheme="majorEastAsia" w:cstheme="majorBidi"/>
      <w:color w:val="595959" w:themeColor="text1" w:themeTint="A6"/>
      <w:kern w:val="2"/>
      <w:lang w:val="el-GR" w:bidi="he-IL"/>
      <w14:ligatures w14:val="standardContextual"/>
    </w:rPr>
  </w:style>
  <w:style w:type="paragraph" w:styleId="8">
    <w:name w:val="heading 8"/>
    <w:basedOn w:val="a"/>
    <w:next w:val="a"/>
    <w:link w:val="8Char"/>
    <w:uiPriority w:val="9"/>
    <w:semiHidden/>
    <w:unhideWhenUsed/>
    <w:qFormat/>
    <w:rsid w:val="00145F87"/>
    <w:pPr>
      <w:keepNext/>
      <w:keepLines/>
      <w:spacing w:after="0"/>
      <w:outlineLvl w:val="7"/>
    </w:pPr>
    <w:rPr>
      <w:rFonts w:eastAsiaTheme="majorEastAsia" w:cstheme="majorBidi"/>
      <w:i/>
      <w:iCs/>
      <w:color w:val="272727" w:themeColor="text1" w:themeTint="D8"/>
      <w:kern w:val="2"/>
      <w:lang w:val="el-GR" w:bidi="he-IL"/>
      <w14:ligatures w14:val="standardContextual"/>
    </w:rPr>
  </w:style>
  <w:style w:type="paragraph" w:styleId="9">
    <w:name w:val="heading 9"/>
    <w:basedOn w:val="a"/>
    <w:next w:val="a"/>
    <w:link w:val="9Char"/>
    <w:uiPriority w:val="9"/>
    <w:semiHidden/>
    <w:unhideWhenUsed/>
    <w:qFormat/>
    <w:rsid w:val="00145F87"/>
    <w:pPr>
      <w:keepNext/>
      <w:keepLines/>
      <w:spacing w:after="0"/>
      <w:outlineLvl w:val="8"/>
    </w:pPr>
    <w:rPr>
      <w:rFonts w:eastAsiaTheme="majorEastAsia" w:cstheme="majorBidi"/>
      <w:color w:val="272727" w:themeColor="text1" w:themeTint="D8"/>
      <w:kern w:val="2"/>
      <w:lang w:val="el-GR" w:bidi="he-IL"/>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145F87"/>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145F87"/>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145F87"/>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145F87"/>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145F87"/>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145F87"/>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145F87"/>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145F87"/>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145F87"/>
    <w:rPr>
      <w:rFonts w:eastAsiaTheme="majorEastAsia" w:cstheme="majorBidi"/>
      <w:color w:val="272727" w:themeColor="text1" w:themeTint="D8"/>
    </w:rPr>
  </w:style>
  <w:style w:type="paragraph" w:styleId="a3">
    <w:name w:val="Title"/>
    <w:basedOn w:val="a"/>
    <w:next w:val="a"/>
    <w:link w:val="Char"/>
    <w:uiPriority w:val="10"/>
    <w:qFormat/>
    <w:rsid w:val="00145F87"/>
    <w:pPr>
      <w:spacing w:after="80" w:line="240" w:lineRule="auto"/>
      <w:contextualSpacing/>
    </w:pPr>
    <w:rPr>
      <w:rFonts w:asciiTheme="majorHAnsi" w:eastAsiaTheme="majorEastAsia" w:hAnsiTheme="majorHAnsi" w:cstheme="majorBidi"/>
      <w:spacing w:val="-10"/>
      <w:kern w:val="28"/>
      <w:sz w:val="56"/>
      <w:szCs w:val="56"/>
      <w:lang w:val="el-GR" w:bidi="he-IL"/>
      <w14:ligatures w14:val="standardContextual"/>
    </w:rPr>
  </w:style>
  <w:style w:type="character" w:customStyle="1" w:styleId="Char">
    <w:name w:val="Τίτλος Char"/>
    <w:basedOn w:val="a0"/>
    <w:link w:val="a3"/>
    <w:uiPriority w:val="10"/>
    <w:rsid w:val="00145F87"/>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145F87"/>
    <w:pPr>
      <w:numPr>
        <w:ilvl w:val="1"/>
      </w:numPr>
    </w:pPr>
    <w:rPr>
      <w:rFonts w:eastAsiaTheme="majorEastAsia" w:cstheme="majorBidi"/>
      <w:color w:val="595959" w:themeColor="text1" w:themeTint="A6"/>
      <w:spacing w:val="15"/>
      <w:kern w:val="2"/>
      <w:sz w:val="28"/>
      <w:szCs w:val="28"/>
      <w:lang w:val="el-GR" w:bidi="he-IL"/>
      <w14:ligatures w14:val="standardContextual"/>
    </w:rPr>
  </w:style>
  <w:style w:type="character" w:customStyle="1" w:styleId="Char0">
    <w:name w:val="Υπότιτλος Char"/>
    <w:basedOn w:val="a0"/>
    <w:link w:val="a4"/>
    <w:uiPriority w:val="11"/>
    <w:rsid w:val="00145F87"/>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145F87"/>
    <w:pPr>
      <w:spacing w:before="160"/>
      <w:jc w:val="center"/>
    </w:pPr>
    <w:rPr>
      <w:i/>
      <w:iCs/>
      <w:color w:val="404040" w:themeColor="text1" w:themeTint="BF"/>
      <w:kern w:val="2"/>
      <w:lang w:val="el-GR" w:bidi="he-IL"/>
      <w14:ligatures w14:val="standardContextual"/>
    </w:rPr>
  </w:style>
  <w:style w:type="character" w:customStyle="1" w:styleId="Char1">
    <w:name w:val="Απόσπασμα Char"/>
    <w:basedOn w:val="a0"/>
    <w:link w:val="a5"/>
    <w:uiPriority w:val="29"/>
    <w:rsid w:val="00145F87"/>
    <w:rPr>
      <w:i/>
      <w:iCs/>
      <w:color w:val="404040" w:themeColor="text1" w:themeTint="BF"/>
    </w:rPr>
  </w:style>
  <w:style w:type="paragraph" w:styleId="a6">
    <w:name w:val="List Paragraph"/>
    <w:basedOn w:val="a"/>
    <w:uiPriority w:val="34"/>
    <w:qFormat/>
    <w:rsid w:val="00145F87"/>
    <w:pPr>
      <w:ind w:left="720"/>
      <w:contextualSpacing/>
    </w:pPr>
    <w:rPr>
      <w:kern w:val="2"/>
      <w:lang w:val="el-GR" w:bidi="he-IL"/>
      <w14:ligatures w14:val="standardContextual"/>
    </w:rPr>
  </w:style>
  <w:style w:type="character" w:styleId="a7">
    <w:name w:val="Intense Emphasis"/>
    <w:basedOn w:val="a0"/>
    <w:uiPriority w:val="21"/>
    <w:qFormat/>
    <w:rsid w:val="00145F87"/>
    <w:rPr>
      <w:i/>
      <w:iCs/>
      <w:color w:val="0F4761" w:themeColor="accent1" w:themeShade="BF"/>
    </w:rPr>
  </w:style>
  <w:style w:type="paragraph" w:styleId="a8">
    <w:name w:val="Intense Quote"/>
    <w:basedOn w:val="a"/>
    <w:next w:val="a"/>
    <w:link w:val="Char2"/>
    <w:uiPriority w:val="30"/>
    <w:qFormat/>
    <w:rsid w:val="00145F8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lang w:val="el-GR" w:bidi="he-IL"/>
      <w14:ligatures w14:val="standardContextual"/>
    </w:rPr>
  </w:style>
  <w:style w:type="character" w:customStyle="1" w:styleId="Char2">
    <w:name w:val="Έντονο απόσπ. Char"/>
    <w:basedOn w:val="a0"/>
    <w:link w:val="a8"/>
    <w:uiPriority w:val="30"/>
    <w:rsid w:val="00145F87"/>
    <w:rPr>
      <w:i/>
      <w:iCs/>
      <w:color w:val="0F4761" w:themeColor="accent1" w:themeShade="BF"/>
    </w:rPr>
  </w:style>
  <w:style w:type="character" w:styleId="a9">
    <w:name w:val="Intense Reference"/>
    <w:basedOn w:val="a0"/>
    <w:uiPriority w:val="32"/>
    <w:qFormat/>
    <w:rsid w:val="00145F87"/>
    <w:rPr>
      <w:b/>
      <w:bCs/>
      <w:smallCaps/>
      <w:color w:val="0F4761" w:themeColor="accent1" w:themeShade="BF"/>
      <w:spacing w:val="5"/>
    </w:rPr>
  </w:style>
  <w:style w:type="character" w:styleId="-">
    <w:name w:val="Hyperlink"/>
    <w:basedOn w:val="a0"/>
    <w:uiPriority w:val="99"/>
    <w:unhideWhenUsed/>
    <w:rsid w:val="00AB0DDA"/>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16/j.microc.2024.111792" TargetMode="External"/><Relationship Id="rId13" Type="http://schemas.openxmlformats.org/officeDocument/2006/relationships/hyperlink" Target="https://polynoe.lib.uniwa.gr/xmlui/handle/11400/4035" TargetMode="External"/><Relationship Id="rId3" Type="http://schemas.openxmlformats.org/officeDocument/2006/relationships/webSettings" Target="webSettings.xml"/><Relationship Id="rId7" Type="http://schemas.openxmlformats.org/officeDocument/2006/relationships/hyperlink" Target="https://polynoe.lib.uniwa.gr/xmlui/handle/11400/5516" TargetMode="External"/><Relationship Id="rId12" Type="http://schemas.openxmlformats.org/officeDocument/2006/relationships/hyperlink" Target="https://pharmakeftiki.hsmc.gr/index.php/pj/article/view/25"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olynoe.lib.uniwa.gr/xmlui/handle/11400/3325" TargetMode="External"/><Relationship Id="rId11" Type="http://schemas.openxmlformats.org/officeDocument/2006/relationships/hyperlink" Target="DOI:%20https://doi.org/10.60988/pj.v36i1.25" TargetMode="External"/><Relationship Id="rId5" Type="http://schemas.openxmlformats.org/officeDocument/2006/relationships/hyperlink" Target="https://polynoe.lib.uniwa.gr/xmlui/handle/11400/3325" TargetMode="External"/><Relationship Id="rId15" Type="http://schemas.openxmlformats.org/officeDocument/2006/relationships/theme" Target="theme/theme1.xml"/><Relationship Id="rId10" Type="http://schemas.openxmlformats.org/officeDocument/2006/relationships/hyperlink" Target="https://scholar.google.com/citations?user=ZGp5ObgAAAAJ&amp;hl=el&amp;oi=sra" TargetMode="External"/><Relationship Id="rId4" Type="http://schemas.openxmlformats.org/officeDocument/2006/relationships/hyperlink" Target="https://doi.org/10.1080/14786419.2025.2456087" TargetMode="External"/><Relationship Id="rId9" Type="http://schemas.openxmlformats.org/officeDocument/2006/relationships/hyperlink" Target="https://www.sciencedirect.com/science/article/pii/S0026265X24019040"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1232</Words>
  <Characters>6659</Characters>
  <Application>Microsoft Office Word</Application>
  <DocSecurity>0</DocSecurity>
  <Lines>55</Lines>
  <Paragraphs>15</Paragraphs>
  <ScaleCrop>false</ScaleCrop>
  <Company/>
  <LinksUpToDate>false</LinksUpToDate>
  <CharactersWithSpaces>7876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athanasia varvaresou</dc:creator>
  <cp:keywords/>
  <dc:description/>
  <cp:lastModifiedBy>athanasia varvaresou</cp:lastModifiedBy>
  <cp:revision>2</cp:revision>
  <dcterms:created xsi:type="dcterms:W3CDTF">2025-03-16T21:08:00Z</dcterms:created>
  <dcterms:modified xsi:type="dcterms:W3CDTF">2025-03-16T21:08:00Z</dcterms:modified>
</cp:coreProperties>
</file>