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99FFCC"/>
  <w:body>
    <w:p w14:paraId="4465F72F" w14:textId="77777777" w:rsidR="000C5682" w:rsidRPr="00E10530" w:rsidRDefault="000C5682">
      <w:pPr>
        <w:rPr>
          <w:b/>
          <w:bCs/>
          <w:sz w:val="32"/>
          <w:szCs w:val="32"/>
          <w:lang w:val="en-GB"/>
        </w:rPr>
      </w:pPr>
    </w:p>
    <w:p w14:paraId="51E828D3" w14:textId="77777777" w:rsidR="008B00FD" w:rsidRDefault="008B00FD" w:rsidP="000C5682">
      <w:pPr>
        <w:jc w:val="center"/>
        <w:rPr>
          <w:b/>
          <w:bCs/>
          <w:sz w:val="96"/>
          <w:szCs w:val="96"/>
        </w:rPr>
      </w:pPr>
    </w:p>
    <w:p w14:paraId="2C115A1C" w14:textId="23D23280" w:rsidR="000C5682" w:rsidRPr="008B00FD" w:rsidRDefault="000C5682" w:rsidP="000C5682">
      <w:pPr>
        <w:jc w:val="center"/>
        <w:rPr>
          <w:b/>
          <w:bCs/>
          <w:color w:val="0000FF"/>
          <w:sz w:val="96"/>
          <w:szCs w:val="96"/>
        </w:rPr>
      </w:pPr>
      <w:r w:rsidRPr="008B00FD">
        <w:rPr>
          <w:b/>
          <w:bCs/>
          <w:color w:val="0000FF"/>
          <w:sz w:val="96"/>
          <w:szCs w:val="96"/>
        </w:rPr>
        <w:t>Ευρωπαϊκή Νομοθεσία</w:t>
      </w:r>
      <w:r w:rsidRPr="008B00FD">
        <w:rPr>
          <w:b/>
          <w:bCs/>
          <w:color w:val="0000FF"/>
          <w:sz w:val="96"/>
          <w:szCs w:val="96"/>
        </w:rPr>
        <w:br/>
        <w:t>&amp;</w:t>
      </w:r>
      <w:r w:rsidRPr="008B00FD">
        <w:rPr>
          <w:b/>
          <w:bCs/>
          <w:color w:val="0000FF"/>
          <w:sz w:val="96"/>
          <w:szCs w:val="96"/>
        </w:rPr>
        <w:br/>
        <w:t>Απαιτήσεις Συμμόρφωσης Προϊόντων</w:t>
      </w:r>
    </w:p>
    <w:p w14:paraId="022D4369" w14:textId="77777777" w:rsidR="000C5682" w:rsidRDefault="000C5682">
      <w:pPr>
        <w:rPr>
          <w:b/>
          <w:bCs/>
          <w:sz w:val="32"/>
          <w:szCs w:val="32"/>
        </w:rPr>
      </w:pPr>
    </w:p>
    <w:p w14:paraId="4A2D10D9" w14:textId="77777777" w:rsidR="000C5682" w:rsidRDefault="000C5682">
      <w:pPr>
        <w:rPr>
          <w:b/>
          <w:bCs/>
          <w:sz w:val="32"/>
          <w:szCs w:val="32"/>
        </w:rPr>
      </w:pPr>
    </w:p>
    <w:p w14:paraId="21020242" w14:textId="77777777" w:rsidR="008B00FD" w:rsidRDefault="008B00FD">
      <w:pPr>
        <w:rPr>
          <w:b/>
          <w:bCs/>
          <w:sz w:val="32"/>
          <w:szCs w:val="32"/>
        </w:rPr>
      </w:pPr>
    </w:p>
    <w:p w14:paraId="090A5B6B" w14:textId="77777777" w:rsidR="00B22BCB" w:rsidRDefault="00B22BCB">
      <w:pPr>
        <w:rPr>
          <w:b/>
          <w:bCs/>
          <w:sz w:val="32"/>
          <w:szCs w:val="32"/>
        </w:rPr>
      </w:pPr>
    </w:p>
    <w:p w14:paraId="3120DCEF" w14:textId="55B96964" w:rsidR="008B00FD" w:rsidRDefault="008B00FD">
      <w:pPr>
        <w:rPr>
          <w:b/>
          <w:bCs/>
          <w:sz w:val="40"/>
          <w:szCs w:val="40"/>
        </w:rPr>
      </w:pPr>
      <w:r w:rsidRPr="00B22BCB">
        <w:rPr>
          <w:b/>
          <w:bCs/>
          <w:sz w:val="40"/>
          <w:szCs w:val="40"/>
        </w:rPr>
        <w:t xml:space="preserve">Περιεχόμενα </w:t>
      </w:r>
    </w:p>
    <w:p w14:paraId="1256F4C0" w14:textId="77777777" w:rsidR="00E06688" w:rsidRPr="00431A22" w:rsidRDefault="00E06688">
      <w:pPr>
        <w:rPr>
          <w:b/>
          <w:bCs/>
          <w:sz w:val="36"/>
          <w:szCs w:val="36"/>
        </w:rPr>
      </w:pPr>
    </w:p>
    <w:p w14:paraId="1C832977" w14:textId="77777777" w:rsidR="00B22BCB" w:rsidRPr="00B22BCB" w:rsidRDefault="00B22BCB" w:rsidP="00B22BCB">
      <w:pPr>
        <w:numPr>
          <w:ilvl w:val="0"/>
          <w:numId w:val="1"/>
        </w:numPr>
        <w:spacing w:after="0" w:line="360" w:lineRule="auto"/>
        <w:ind w:left="709" w:hanging="709"/>
        <w:contextualSpacing/>
        <w:jc w:val="both"/>
        <w:rPr>
          <w:rFonts w:ascii="Times New Roman" w:eastAsia="Times New Roman" w:hAnsi="Times New Roman" w:cs="Times New Roman"/>
          <w:kern w:val="0"/>
          <w:sz w:val="36"/>
          <w:szCs w:val="24"/>
          <w:lang w:eastAsia="el-GR"/>
          <w14:ligatures w14:val="none"/>
        </w:rPr>
      </w:pPr>
      <w:r w:rsidRPr="00B22BCB">
        <w:rPr>
          <w:rFonts w:ascii="Aptos" w:eastAsia="+mn-ea" w:hAnsi="Aptos" w:cs="+mn-cs"/>
          <w:color w:val="000000"/>
          <w:kern w:val="24"/>
          <w:sz w:val="36"/>
          <w:szCs w:val="36"/>
          <w:lang w:eastAsia="el-GR"/>
          <w14:ligatures w14:val="none"/>
        </w:rPr>
        <w:t>Ευρωπαϊκή Νομοθεσία.</w:t>
      </w:r>
    </w:p>
    <w:p w14:paraId="6EDA7845" w14:textId="77777777" w:rsidR="00B22BCB" w:rsidRPr="00B22BCB" w:rsidRDefault="00B22BCB" w:rsidP="00B22BCB">
      <w:pPr>
        <w:numPr>
          <w:ilvl w:val="0"/>
          <w:numId w:val="1"/>
        </w:numPr>
        <w:spacing w:after="0" w:line="360" w:lineRule="auto"/>
        <w:ind w:left="709" w:hanging="709"/>
        <w:contextualSpacing/>
        <w:jc w:val="both"/>
        <w:rPr>
          <w:rFonts w:ascii="Times New Roman" w:eastAsia="Times New Roman" w:hAnsi="Times New Roman" w:cs="Times New Roman"/>
          <w:kern w:val="0"/>
          <w:sz w:val="36"/>
          <w:szCs w:val="24"/>
          <w:lang w:eastAsia="el-GR"/>
          <w14:ligatures w14:val="none"/>
        </w:rPr>
      </w:pPr>
      <w:r w:rsidRPr="00B22BCB">
        <w:rPr>
          <w:rFonts w:ascii="Aptos" w:eastAsia="+mn-ea" w:hAnsi="Aptos" w:cs="+mn-cs"/>
          <w:color w:val="000000"/>
          <w:kern w:val="24"/>
          <w:sz w:val="36"/>
          <w:szCs w:val="36"/>
          <w:lang w:eastAsia="el-GR"/>
          <w14:ligatures w14:val="none"/>
        </w:rPr>
        <w:t>Νομοθεσία για τα προϊόντα - Ασφάλεια προϊόντων.</w:t>
      </w:r>
    </w:p>
    <w:p w14:paraId="4E44D831" w14:textId="77777777" w:rsidR="00B22BCB" w:rsidRPr="00B22BCB" w:rsidRDefault="00B22BCB" w:rsidP="00B22BCB">
      <w:pPr>
        <w:numPr>
          <w:ilvl w:val="0"/>
          <w:numId w:val="1"/>
        </w:numPr>
        <w:spacing w:after="0" w:line="360" w:lineRule="auto"/>
        <w:ind w:left="709" w:hanging="709"/>
        <w:contextualSpacing/>
        <w:jc w:val="both"/>
        <w:rPr>
          <w:rFonts w:ascii="Times New Roman" w:eastAsia="Times New Roman" w:hAnsi="Times New Roman" w:cs="Times New Roman"/>
          <w:kern w:val="0"/>
          <w:sz w:val="36"/>
          <w:szCs w:val="24"/>
          <w:lang w:eastAsia="el-GR"/>
          <w14:ligatures w14:val="none"/>
        </w:rPr>
      </w:pPr>
      <w:r w:rsidRPr="00B22BCB">
        <w:rPr>
          <w:rFonts w:ascii="Aptos" w:eastAsia="+mn-ea" w:hAnsi="Aptos" w:cs="+mn-cs"/>
          <w:color w:val="000000"/>
          <w:kern w:val="24"/>
          <w:sz w:val="36"/>
          <w:szCs w:val="36"/>
          <w:lang w:eastAsia="el-GR"/>
          <w14:ligatures w14:val="none"/>
        </w:rPr>
        <w:t xml:space="preserve">Απαιτήσεις συμμόρφωσης προϊόντων (μηχανές, ηλεκτρικοί πίνακες, </w:t>
      </w:r>
      <w:proofErr w:type="spellStart"/>
      <w:r w:rsidRPr="00B22BCB">
        <w:rPr>
          <w:rFonts w:ascii="Aptos" w:eastAsia="+mn-ea" w:hAnsi="Aptos" w:cs="+mn-cs"/>
          <w:color w:val="000000"/>
          <w:kern w:val="24"/>
          <w:sz w:val="36"/>
          <w:szCs w:val="36"/>
          <w:lang w:eastAsia="el-GR"/>
          <w14:ligatures w14:val="none"/>
        </w:rPr>
        <w:t>κλπ</w:t>
      </w:r>
      <w:proofErr w:type="spellEnd"/>
      <w:r w:rsidRPr="00B22BCB">
        <w:rPr>
          <w:rFonts w:ascii="Aptos" w:eastAsia="+mn-ea" w:hAnsi="Aptos" w:cs="+mn-cs"/>
          <w:color w:val="000000"/>
          <w:kern w:val="24"/>
          <w:sz w:val="36"/>
          <w:szCs w:val="36"/>
          <w:lang w:eastAsia="el-GR"/>
          <w14:ligatures w14:val="none"/>
        </w:rPr>
        <w:t>) - Η έννοια της ασφάλειας (</w:t>
      </w:r>
      <w:proofErr w:type="spellStart"/>
      <w:r w:rsidRPr="00B22BCB">
        <w:rPr>
          <w:rFonts w:ascii="Aptos" w:eastAsia="+mn-ea" w:hAnsi="Aptos" w:cs="+mn-cs"/>
          <w:color w:val="000000"/>
          <w:kern w:val="24"/>
          <w:sz w:val="36"/>
          <w:szCs w:val="36"/>
          <w:lang w:eastAsia="el-GR"/>
          <w14:ligatures w14:val="none"/>
        </w:rPr>
        <w:t>safety</w:t>
      </w:r>
      <w:proofErr w:type="spellEnd"/>
      <w:r w:rsidRPr="00B22BCB">
        <w:rPr>
          <w:rFonts w:ascii="Aptos" w:eastAsia="+mn-ea" w:hAnsi="Aptos" w:cs="+mn-cs"/>
          <w:color w:val="000000"/>
          <w:kern w:val="24"/>
          <w:sz w:val="36"/>
          <w:szCs w:val="36"/>
          <w:lang w:eastAsia="el-GR"/>
          <w14:ligatures w14:val="none"/>
        </w:rPr>
        <w:t>) σε όλο τον κύκλο ζωής των προϊόντων.</w:t>
      </w:r>
    </w:p>
    <w:p w14:paraId="4226A3A5" w14:textId="77777777" w:rsidR="00B22BCB" w:rsidRPr="00B22BCB" w:rsidRDefault="00B22BCB" w:rsidP="00B22BCB">
      <w:pPr>
        <w:numPr>
          <w:ilvl w:val="0"/>
          <w:numId w:val="1"/>
        </w:numPr>
        <w:spacing w:after="0" w:line="360" w:lineRule="auto"/>
        <w:ind w:left="709" w:hanging="709"/>
        <w:contextualSpacing/>
        <w:jc w:val="both"/>
        <w:rPr>
          <w:rFonts w:ascii="Times New Roman" w:eastAsia="Times New Roman" w:hAnsi="Times New Roman" w:cs="Times New Roman"/>
          <w:kern w:val="0"/>
          <w:sz w:val="36"/>
          <w:szCs w:val="24"/>
          <w:lang w:eastAsia="el-GR"/>
          <w14:ligatures w14:val="none"/>
        </w:rPr>
      </w:pPr>
      <w:r w:rsidRPr="00B22BCB">
        <w:rPr>
          <w:rFonts w:ascii="Aptos" w:eastAsia="+mn-ea" w:hAnsi="Aptos" w:cs="+mn-cs"/>
          <w:color w:val="000000"/>
          <w:kern w:val="24"/>
          <w:sz w:val="36"/>
          <w:szCs w:val="36"/>
          <w:lang w:eastAsia="el-GR"/>
          <w14:ligatures w14:val="none"/>
        </w:rPr>
        <w:t xml:space="preserve">Ευρωπαϊκές Οδηγίες και Κανονισμοί Νέας Προσέγγισης - Σήμανση </w:t>
      </w:r>
      <w:proofErr w:type="spellStart"/>
      <w:r w:rsidRPr="00B22BCB">
        <w:rPr>
          <w:rFonts w:ascii="Aptos" w:eastAsia="+mn-ea" w:hAnsi="Aptos" w:cs="+mn-cs"/>
          <w:color w:val="000000"/>
          <w:kern w:val="24"/>
          <w:sz w:val="36"/>
          <w:szCs w:val="36"/>
          <w:lang w:eastAsia="el-GR"/>
          <w14:ligatures w14:val="none"/>
        </w:rPr>
        <w:t>CE</w:t>
      </w:r>
      <w:proofErr w:type="spellEnd"/>
      <w:r w:rsidRPr="00B22BCB">
        <w:rPr>
          <w:rFonts w:ascii="Aptos" w:eastAsia="+mn-ea" w:hAnsi="Aptos" w:cs="+mn-cs"/>
          <w:color w:val="000000"/>
          <w:kern w:val="24"/>
          <w:sz w:val="36"/>
          <w:szCs w:val="36"/>
          <w:lang w:eastAsia="el-GR"/>
          <w14:ligatures w14:val="none"/>
        </w:rPr>
        <w:t>.</w:t>
      </w:r>
    </w:p>
    <w:p w14:paraId="5F60D498" w14:textId="77777777" w:rsidR="00B22BCB" w:rsidRPr="00B22BCB" w:rsidRDefault="00B22BCB" w:rsidP="00B22BCB">
      <w:pPr>
        <w:numPr>
          <w:ilvl w:val="0"/>
          <w:numId w:val="1"/>
        </w:numPr>
        <w:spacing w:after="0" w:line="360" w:lineRule="auto"/>
        <w:ind w:left="709" w:hanging="709"/>
        <w:contextualSpacing/>
        <w:jc w:val="both"/>
        <w:rPr>
          <w:rFonts w:ascii="Times New Roman" w:eastAsia="Times New Roman" w:hAnsi="Times New Roman" w:cs="Times New Roman"/>
          <w:kern w:val="0"/>
          <w:sz w:val="36"/>
          <w:szCs w:val="24"/>
          <w:lang w:eastAsia="el-GR"/>
          <w14:ligatures w14:val="none"/>
        </w:rPr>
      </w:pPr>
      <w:r w:rsidRPr="00B22BCB">
        <w:rPr>
          <w:rFonts w:ascii="Aptos" w:eastAsia="+mn-ea" w:hAnsi="Aptos" w:cs="+mn-cs"/>
          <w:color w:val="000000"/>
          <w:kern w:val="24"/>
          <w:sz w:val="36"/>
          <w:szCs w:val="36"/>
          <w:lang w:eastAsia="el-GR"/>
          <w14:ligatures w14:val="none"/>
        </w:rPr>
        <w:t>Εναρμονισμένα Ευρωπαϊκά Πρότυπα - Παρουσίαση των πλέον εφαρμοζόμενων - Μέθοδοι εφαρμογής τους.</w:t>
      </w:r>
    </w:p>
    <w:p w14:paraId="20C8BB63" w14:textId="77777777" w:rsidR="00B22BCB" w:rsidRPr="00B22BCB" w:rsidRDefault="00B22BCB" w:rsidP="00B22BCB">
      <w:pPr>
        <w:numPr>
          <w:ilvl w:val="0"/>
          <w:numId w:val="1"/>
        </w:numPr>
        <w:spacing w:after="0" w:line="360" w:lineRule="auto"/>
        <w:ind w:left="709" w:hanging="709"/>
        <w:contextualSpacing/>
        <w:jc w:val="both"/>
        <w:rPr>
          <w:rFonts w:ascii="Times New Roman" w:eastAsia="Times New Roman" w:hAnsi="Times New Roman" w:cs="Times New Roman"/>
          <w:kern w:val="0"/>
          <w:sz w:val="36"/>
          <w:szCs w:val="24"/>
          <w:lang w:eastAsia="el-GR"/>
          <w14:ligatures w14:val="none"/>
        </w:rPr>
      </w:pPr>
      <w:r w:rsidRPr="00B22BCB">
        <w:rPr>
          <w:rFonts w:ascii="Aptos" w:eastAsia="+mn-ea" w:hAnsi="Aptos" w:cs="+mn-cs"/>
          <w:color w:val="000000"/>
          <w:kern w:val="24"/>
          <w:sz w:val="36"/>
          <w:szCs w:val="36"/>
          <w:lang w:eastAsia="el-GR"/>
          <w14:ligatures w14:val="none"/>
        </w:rPr>
        <w:t>Τρόποι αναγνώρισης της τρέχουσας Νομοθεσίας για τα προϊόντα.</w:t>
      </w:r>
    </w:p>
    <w:p w14:paraId="4FC99B95" w14:textId="77777777" w:rsidR="00B22BCB" w:rsidRPr="00B22BCB" w:rsidRDefault="00B22BCB" w:rsidP="00B22BCB">
      <w:pPr>
        <w:numPr>
          <w:ilvl w:val="0"/>
          <w:numId w:val="1"/>
        </w:numPr>
        <w:spacing w:after="0" w:line="360" w:lineRule="auto"/>
        <w:ind w:left="709" w:hanging="709"/>
        <w:contextualSpacing/>
        <w:jc w:val="both"/>
        <w:rPr>
          <w:rFonts w:ascii="Times New Roman" w:eastAsia="Times New Roman" w:hAnsi="Times New Roman" w:cs="Times New Roman"/>
          <w:kern w:val="0"/>
          <w:sz w:val="36"/>
          <w:szCs w:val="24"/>
          <w:lang w:eastAsia="el-GR"/>
          <w14:ligatures w14:val="none"/>
        </w:rPr>
      </w:pPr>
      <w:r w:rsidRPr="00B22BCB">
        <w:rPr>
          <w:rFonts w:ascii="Aptos" w:eastAsia="+mn-ea" w:hAnsi="Aptos" w:cs="+mn-cs"/>
          <w:color w:val="000000"/>
          <w:kern w:val="24"/>
          <w:sz w:val="36"/>
          <w:szCs w:val="36"/>
          <w:lang w:eastAsia="el-GR"/>
          <w14:ligatures w14:val="none"/>
        </w:rPr>
        <w:t xml:space="preserve">Παραδείγματα εφαρμογής της απαιτούμενης Συμμόρφωσης σε μηχανές και ηλεκτρικούς πίνακες, </w:t>
      </w:r>
      <w:proofErr w:type="spellStart"/>
      <w:r w:rsidRPr="00B22BCB">
        <w:rPr>
          <w:rFonts w:ascii="Aptos" w:eastAsia="+mn-ea" w:hAnsi="Aptos" w:cs="+mn-cs"/>
          <w:color w:val="000000"/>
          <w:kern w:val="24"/>
          <w:sz w:val="36"/>
          <w:szCs w:val="36"/>
          <w:lang w:eastAsia="el-GR"/>
          <w14:ligatures w14:val="none"/>
        </w:rPr>
        <w:t>υδραυλο</w:t>
      </w:r>
      <w:proofErr w:type="spellEnd"/>
      <w:r w:rsidRPr="00B22BCB">
        <w:rPr>
          <w:rFonts w:ascii="Aptos" w:eastAsia="+mn-ea" w:hAnsi="Aptos" w:cs="+mn-cs"/>
          <w:color w:val="000000"/>
          <w:kern w:val="24"/>
          <w:sz w:val="36"/>
          <w:szCs w:val="36"/>
          <w:lang w:eastAsia="el-GR"/>
          <w14:ligatures w14:val="none"/>
        </w:rPr>
        <w:t>-πνευματικό εξοπλισμό, κ.α.</w:t>
      </w:r>
    </w:p>
    <w:p w14:paraId="4E256497" w14:textId="77777777" w:rsidR="008B00FD" w:rsidRDefault="008B00FD">
      <w:pPr>
        <w:rPr>
          <w:b/>
          <w:bCs/>
          <w:sz w:val="32"/>
          <w:szCs w:val="32"/>
        </w:rPr>
      </w:pPr>
    </w:p>
    <w:p w14:paraId="69706430" w14:textId="651D53B3" w:rsidR="00E7012A" w:rsidRDefault="000C5682">
      <w:pPr>
        <w:rPr>
          <w:b/>
          <w:bCs/>
          <w:sz w:val="40"/>
          <w:szCs w:val="40"/>
        </w:rPr>
      </w:pPr>
      <w:r w:rsidRPr="00B22BCB">
        <w:rPr>
          <w:b/>
          <w:bCs/>
          <w:sz w:val="40"/>
          <w:szCs w:val="40"/>
        </w:rPr>
        <w:lastRenderedPageBreak/>
        <w:t>Βιβλιογραφικές Αναφορές</w:t>
      </w:r>
    </w:p>
    <w:p w14:paraId="56FBE6D8" w14:textId="77777777" w:rsidR="00E06688" w:rsidRPr="00431A22" w:rsidRDefault="00E06688">
      <w:pPr>
        <w:rPr>
          <w:b/>
          <w:bCs/>
          <w:sz w:val="36"/>
          <w:szCs w:val="36"/>
        </w:rPr>
      </w:pPr>
    </w:p>
    <w:p w14:paraId="38F4D3A3" w14:textId="77777777" w:rsidR="009511ED" w:rsidRPr="00E06688" w:rsidRDefault="009511ED" w:rsidP="00E06688">
      <w:pPr>
        <w:pStyle w:val="ListParagraph"/>
        <w:numPr>
          <w:ilvl w:val="0"/>
          <w:numId w:val="2"/>
        </w:numPr>
        <w:spacing w:line="480" w:lineRule="auto"/>
        <w:ind w:left="426" w:hanging="426"/>
        <w:rPr>
          <w:sz w:val="24"/>
          <w:szCs w:val="24"/>
        </w:rPr>
      </w:pPr>
      <w:r w:rsidRPr="00E06688">
        <w:rPr>
          <w:sz w:val="24"/>
          <w:szCs w:val="24"/>
        </w:rPr>
        <w:t>https://commission.europa.eu/law/application-eu-law/implementing-eu-law_el</w:t>
      </w:r>
    </w:p>
    <w:p w14:paraId="2367E357" w14:textId="77777777" w:rsidR="009511ED" w:rsidRPr="00E06688" w:rsidRDefault="009511ED" w:rsidP="00E06688">
      <w:pPr>
        <w:pStyle w:val="ListParagraph"/>
        <w:numPr>
          <w:ilvl w:val="0"/>
          <w:numId w:val="2"/>
        </w:numPr>
        <w:spacing w:line="480" w:lineRule="auto"/>
        <w:ind w:left="426" w:hanging="426"/>
        <w:rPr>
          <w:sz w:val="24"/>
          <w:szCs w:val="24"/>
        </w:rPr>
      </w:pPr>
      <w:r w:rsidRPr="00E06688">
        <w:rPr>
          <w:sz w:val="24"/>
          <w:szCs w:val="24"/>
        </w:rPr>
        <w:t>https://european-union.europa.eu/institutions-law-budget/law/types-legislation_el</w:t>
      </w:r>
    </w:p>
    <w:p w14:paraId="63895340" w14:textId="77777777" w:rsidR="009511ED" w:rsidRPr="00E06688" w:rsidRDefault="009511ED" w:rsidP="00E06688">
      <w:pPr>
        <w:pStyle w:val="ListParagraph"/>
        <w:numPr>
          <w:ilvl w:val="0"/>
          <w:numId w:val="2"/>
        </w:numPr>
        <w:spacing w:line="480" w:lineRule="auto"/>
        <w:ind w:left="426" w:hanging="426"/>
        <w:rPr>
          <w:sz w:val="24"/>
          <w:szCs w:val="24"/>
        </w:rPr>
      </w:pPr>
      <w:r w:rsidRPr="00E06688">
        <w:rPr>
          <w:sz w:val="24"/>
          <w:szCs w:val="24"/>
        </w:rPr>
        <w:t>https://web.tee.gr/d-e-k-a-d/tmima-typopoiisis/nea-proseggisi/</w:t>
      </w:r>
    </w:p>
    <w:p w14:paraId="027E78EB" w14:textId="678F7DE3" w:rsidR="009511ED" w:rsidRPr="00E06688" w:rsidRDefault="008807B6" w:rsidP="00E06688">
      <w:pPr>
        <w:pStyle w:val="ListParagraph"/>
        <w:numPr>
          <w:ilvl w:val="0"/>
          <w:numId w:val="2"/>
        </w:numPr>
        <w:spacing w:line="480" w:lineRule="auto"/>
        <w:ind w:left="426" w:hanging="426"/>
        <w:rPr>
          <w:sz w:val="24"/>
          <w:szCs w:val="24"/>
        </w:rPr>
      </w:pPr>
      <w:hyperlink r:id="rId7" w:history="1">
        <w:r w:rsidRPr="00E06688">
          <w:rPr>
            <w:rStyle w:val="Hyperlink"/>
            <w:color w:val="auto"/>
            <w:sz w:val="24"/>
            <w:szCs w:val="24"/>
          </w:rPr>
          <w:t>https://web.tee.gr/d-e-k-a-d/tmima-typopoiisis/organismoi/</w:t>
        </w:r>
      </w:hyperlink>
    </w:p>
    <w:p w14:paraId="3FA0A288" w14:textId="046E1333" w:rsidR="008807B6" w:rsidRPr="00E06688" w:rsidRDefault="008807B6" w:rsidP="00E06688">
      <w:pPr>
        <w:pStyle w:val="ListParagraph"/>
        <w:numPr>
          <w:ilvl w:val="0"/>
          <w:numId w:val="2"/>
        </w:numPr>
        <w:spacing w:line="480" w:lineRule="auto"/>
        <w:ind w:left="426" w:hanging="426"/>
        <w:rPr>
          <w:sz w:val="24"/>
          <w:szCs w:val="24"/>
        </w:rPr>
      </w:pPr>
      <w:hyperlink r:id="rId8" w:history="1">
        <w:r w:rsidRPr="00E06688">
          <w:rPr>
            <w:rStyle w:val="Hyperlink"/>
            <w:color w:val="auto"/>
            <w:sz w:val="24"/>
            <w:szCs w:val="24"/>
          </w:rPr>
          <w:t>https://eur-lex.europa.eu/legal-content/EL/TXT/PDF/?uri=OJ:C:2022:247:FULL</w:t>
        </w:r>
      </w:hyperlink>
    </w:p>
    <w:p w14:paraId="3B8E1B67" w14:textId="57B7DD37" w:rsidR="008807B6" w:rsidRPr="00E06688" w:rsidRDefault="008807B6" w:rsidP="00E06688">
      <w:pPr>
        <w:pStyle w:val="ListParagraph"/>
        <w:numPr>
          <w:ilvl w:val="0"/>
          <w:numId w:val="2"/>
        </w:numPr>
        <w:spacing w:line="480" w:lineRule="auto"/>
        <w:ind w:left="426" w:hanging="426"/>
        <w:rPr>
          <w:sz w:val="24"/>
          <w:szCs w:val="24"/>
        </w:rPr>
      </w:pPr>
      <w:hyperlink r:id="rId9" w:history="1">
        <w:r w:rsidRPr="00E06688">
          <w:rPr>
            <w:rStyle w:val="Hyperlink"/>
            <w:color w:val="auto"/>
            <w:sz w:val="24"/>
            <w:szCs w:val="24"/>
          </w:rPr>
          <w:t>https://europa.eu/youreurope/business/product-requirements/labels-markings/ce-marking/index_el.htm</w:t>
        </w:r>
      </w:hyperlink>
    </w:p>
    <w:p w14:paraId="041B64B9" w14:textId="01F01C31" w:rsidR="008807B6" w:rsidRPr="00E06688" w:rsidRDefault="0080506D" w:rsidP="00E06688">
      <w:pPr>
        <w:pStyle w:val="ListParagraph"/>
        <w:numPr>
          <w:ilvl w:val="0"/>
          <w:numId w:val="2"/>
        </w:numPr>
        <w:spacing w:line="480" w:lineRule="auto"/>
        <w:ind w:left="426" w:hanging="426"/>
        <w:rPr>
          <w:sz w:val="24"/>
          <w:szCs w:val="24"/>
        </w:rPr>
      </w:pPr>
      <w:hyperlink r:id="rId10" w:history="1">
        <w:r w:rsidRPr="00E06688">
          <w:rPr>
            <w:rStyle w:val="Hyperlink"/>
            <w:color w:val="auto"/>
            <w:sz w:val="24"/>
            <w:szCs w:val="24"/>
          </w:rPr>
          <w:t>http://193.218.125.20/41_ELL_HTML.aspx</w:t>
        </w:r>
      </w:hyperlink>
    </w:p>
    <w:p w14:paraId="2726DEA7" w14:textId="6C4ED494" w:rsidR="0080506D" w:rsidRPr="00E06688" w:rsidRDefault="0080506D" w:rsidP="00E06688">
      <w:pPr>
        <w:pStyle w:val="ListParagraph"/>
        <w:numPr>
          <w:ilvl w:val="0"/>
          <w:numId w:val="2"/>
        </w:numPr>
        <w:spacing w:line="480" w:lineRule="auto"/>
        <w:ind w:left="426" w:hanging="426"/>
        <w:rPr>
          <w:sz w:val="24"/>
          <w:szCs w:val="24"/>
        </w:rPr>
      </w:pPr>
      <w:hyperlink r:id="rId11" w:history="1">
        <w:r w:rsidRPr="00E06688">
          <w:rPr>
            <w:rStyle w:val="Hyperlink"/>
            <w:color w:val="auto"/>
            <w:sz w:val="24"/>
            <w:szCs w:val="24"/>
          </w:rPr>
          <w:t>https://single-market-economy.ec.europa.eu/single-market/european-standards/harmonised-standards_en</w:t>
        </w:r>
      </w:hyperlink>
    </w:p>
    <w:p w14:paraId="3CAB9482" w14:textId="5281099B" w:rsidR="0080506D" w:rsidRPr="00E06688" w:rsidRDefault="0080506D" w:rsidP="00E06688">
      <w:pPr>
        <w:pStyle w:val="ListParagraph"/>
        <w:numPr>
          <w:ilvl w:val="0"/>
          <w:numId w:val="2"/>
        </w:numPr>
        <w:spacing w:line="480" w:lineRule="auto"/>
        <w:ind w:left="426" w:hanging="426"/>
        <w:rPr>
          <w:sz w:val="24"/>
          <w:szCs w:val="24"/>
        </w:rPr>
      </w:pPr>
      <w:hyperlink r:id="rId12" w:history="1">
        <w:r w:rsidRPr="00E06688">
          <w:rPr>
            <w:rStyle w:val="Hyperlink"/>
            <w:color w:val="auto"/>
            <w:sz w:val="24"/>
            <w:szCs w:val="24"/>
          </w:rPr>
          <w:t>https://single-market-economy.ec.europa.eu/single-market/european-standards/harmonised-standards/machinery-md_en</w:t>
        </w:r>
      </w:hyperlink>
    </w:p>
    <w:p w14:paraId="4D9A89CD" w14:textId="2F9430AC" w:rsidR="0080506D" w:rsidRPr="00E06688" w:rsidRDefault="0080506D" w:rsidP="00E06688">
      <w:pPr>
        <w:pStyle w:val="ListParagraph"/>
        <w:numPr>
          <w:ilvl w:val="0"/>
          <w:numId w:val="2"/>
        </w:numPr>
        <w:spacing w:line="480" w:lineRule="auto"/>
        <w:ind w:left="426" w:hanging="426"/>
        <w:rPr>
          <w:sz w:val="24"/>
          <w:szCs w:val="24"/>
        </w:rPr>
      </w:pPr>
      <w:hyperlink r:id="rId13" w:history="1">
        <w:r w:rsidRPr="00E06688">
          <w:rPr>
            <w:rStyle w:val="Hyperlink"/>
            <w:color w:val="auto"/>
            <w:sz w:val="24"/>
            <w:szCs w:val="24"/>
          </w:rPr>
          <w:t>https://ec.europa.eu/docsroom/documents/60145</w:t>
        </w:r>
      </w:hyperlink>
    </w:p>
    <w:p w14:paraId="10FA746E" w14:textId="794833E0" w:rsidR="0080506D" w:rsidRPr="00E06688" w:rsidRDefault="002B5601" w:rsidP="00E06688">
      <w:pPr>
        <w:pStyle w:val="ListParagraph"/>
        <w:numPr>
          <w:ilvl w:val="0"/>
          <w:numId w:val="2"/>
        </w:numPr>
        <w:spacing w:line="480" w:lineRule="auto"/>
        <w:ind w:left="426" w:hanging="426"/>
        <w:rPr>
          <w:sz w:val="24"/>
          <w:szCs w:val="24"/>
        </w:rPr>
      </w:pPr>
      <w:hyperlink r:id="rId14" w:history="1">
        <w:r w:rsidRPr="00E06688">
          <w:rPr>
            <w:rStyle w:val="Hyperlink"/>
            <w:color w:val="auto"/>
            <w:sz w:val="24"/>
            <w:szCs w:val="24"/>
          </w:rPr>
          <w:t>https://eur-lex.europa.eu/legal-content/el/ALL/?uri=CELEX:32006L0042</w:t>
        </w:r>
      </w:hyperlink>
    </w:p>
    <w:p w14:paraId="4C0DE031" w14:textId="3EFF2CB4" w:rsidR="002B5601" w:rsidRPr="00E06688" w:rsidRDefault="002B5601" w:rsidP="00E06688">
      <w:pPr>
        <w:pStyle w:val="ListParagraph"/>
        <w:numPr>
          <w:ilvl w:val="0"/>
          <w:numId w:val="2"/>
        </w:numPr>
        <w:spacing w:line="480" w:lineRule="auto"/>
        <w:ind w:left="426" w:hanging="426"/>
        <w:rPr>
          <w:sz w:val="24"/>
          <w:szCs w:val="24"/>
        </w:rPr>
      </w:pPr>
      <w:hyperlink r:id="rId15" w:history="1">
        <w:r w:rsidRPr="00E06688">
          <w:rPr>
            <w:rStyle w:val="Hyperlink"/>
            <w:color w:val="auto"/>
            <w:sz w:val="24"/>
            <w:szCs w:val="24"/>
          </w:rPr>
          <w:t>https://eur-lex.europa.eu/eli/reg/2023/1230/oj</w:t>
        </w:r>
      </w:hyperlink>
    </w:p>
    <w:p w14:paraId="2DD6265E" w14:textId="51D6082A" w:rsidR="002B5601" w:rsidRPr="00E06688" w:rsidRDefault="002B5601" w:rsidP="00E06688">
      <w:pPr>
        <w:pStyle w:val="ListParagraph"/>
        <w:numPr>
          <w:ilvl w:val="0"/>
          <w:numId w:val="2"/>
        </w:numPr>
        <w:spacing w:line="480" w:lineRule="auto"/>
        <w:ind w:left="426" w:hanging="426"/>
        <w:rPr>
          <w:sz w:val="24"/>
          <w:szCs w:val="24"/>
        </w:rPr>
      </w:pPr>
      <w:hyperlink r:id="rId16" w:history="1">
        <w:r w:rsidRPr="00E06688">
          <w:rPr>
            <w:rStyle w:val="Hyperlink"/>
            <w:color w:val="auto"/>
            <w:sz w:val="24"/>
            <w:szCs w:val="24"/>
          </w:rPr>
          <w:t>https://ec.europa.eu/docsroom/documents/61614</w:t>
        </w:r>
      </w:hyperlink>
    </w:p>
    <w:p w14:paraId="632D0AD0" w14:textId="77777777" w:rsidR="00825373" w:rsidRDefault="00825373" w:rsidP="00825373">
      <w:pPr>
        <w:rPr>
          <w:b/>
          <w:bCs/>
          <w:sz w:val="40"/>
          <w:szCs w:val="40"/>
        </w:rPr>
      </w:pPr>
    </w:p>
    <w:p w14:paraId="161872FF" w14:textId="25EF2A0D" w:rsidR="00825373" w:rsidRPr="00825373" w:rsidRDefault="00825373" w:rsidP="00825373">
      <w:pPr>
        <w:rPr>
          <w:b/>
          <w:bCs/>
          <w:sz w:val="40"/>
          <w:szCs w:val="40"/>
        </w:rPr>
      </w:pPr>
      <w:r w:rsidRPr="00825373">
        <w:rPr>
          <w:b/>
          <w:bCs/>
          <w:sz w:val="40"/>
          <w:szCs w:val="40"/>
        </w:rPr>
        <w:t>Οι πηγές του δικαίου της Ένωσης και η ιεράρχησή τους</w:t>
      </w:r>
    </w:p>
    <w:p w14:paraId="43006160" w14:textId="77777777" w:rsidR="00825373" w:rsidRPr="00825373" w:rsidRDefault="00825373" w:rsidP="00825373">
      <w:pPr>
        <w:rPr>
          <w:b/>
          <w:bCs/>
          <w:sz w:val="40"/>
          <w:szCs w:val="40"/>
        </w:rPr>
      </w:pPr>
    </w:p>
    <w:p w14:paraId="00A47752" w14:textId="2A3425AE" w:rsidR="00825373" w:rsidRPr="00475F86" w:rsidRDefault="00825373" w:rsidP="00475F86">
      <w:pPr>
        <w:pStyle w:val="ListParagraph"/>
        <w:numPr>
          <w:ilvl w:val="0"/>
          <w:numId w:val="4"/>
        </w:numPr>
        <w:spacing w:line="360" w:lineRule="auto"/>
        <w:ind w:left="567" w:hanging="567"/>
        <w:jc w:val="both"/>
        <w:rPr>
          <w:sz w:val="36"/>
          <w:szCs w:val="36"/>
        </w:rPr>
      </w:pPr>
      <w:r w:rsidRPr="00475F86">
        <w:rPr>
          <w:sz w:val="36"/>
          <w:szCs w:val="36"/>
        </w:rPr>
        <w:t>Συνθήκη για την Ευρωπαϊκή Ένωση (</w:t>
      </w:r>
      <w:proofErr w:type="spellStart"/>
      <w:r w:rsidRPr="00C659AC">
        <w:rPr>
          <w:b/>
          <w:bCs/>
          <w:sz w:val="36"/>
          <w:szCs w:val="36"/>
        </w:rPr>
        <w:t>ΣΕΕ</w:t>
      </w:r>
      <w:proofErr w:type="spellEnd"/>
      <w:r w:rsidRPr="00475F86">
        <w:rPr>
          <w:sz w:val="36"/>
          <w:szCs w:val="36"/>
        </w:rPr>
        <w:t>), Συνθήκη για τη λειτουργία της Ευρωπαϊκής Ένωσης (</w:t>
      </w:r>
      <w:proofErr w:type="spellStart"/>
      <w:r w:rsidRPr="00C659AC">
        <w:rPr>
          <w:b/>
          <w:bCs/>
          <w:sz w:val="36"/>
          <w:szCs w:val="36"/>
        </w:rPr>
        <w:t>ΣΛΕΕ</w:t>
      </w:r>
      <w:proofErr w:type="spellEnd"/>
      <w:r w:rsidRPr="00475F86">
        <w:rPr>
          <w:sz w:val="36"/>
          <w:szCs w:val="36"/>
        </w:rPr>
        <w:t>) και τα πρωτόκολλά τους (υπάρχουν 37 πρωτόκολλα, 2 παραρτήματα και 65 δηλώσεις, που επισυνάπτονται στις Συνθήκες με σκοπό την προσθήκη λεπτομερειών, χωρίς να έχουν ενσωματωθεί στο πλήρες νομικό κείμενο)·</w:t>
      </w:r>
    </w:p>
    <w:p w14:paraId="4082374B" w14:textId="170B8ACE" w:rsidR="00825373" w:rsidRPr="00475F86" w:rsidRDefault="00825373" w:rsidP="00475F86">
      <w:pPr>
        <w:pStyle w:val="ListParagraph"/>
        <w:numPr>
          <w:ilvl w:val="0"/>
          <w:numId w:val="4"/>
        </w:numPr>
        <w:spacing w:line="360" w:lineRule="auto"/>
        <w:ind w:left="567" w:hanging="567"/>
        <w:jc w:val="both"/>
        <w:rPr>
          <w:sz w:val="36"/>
          <w:szCs w:val="36"/>
        </w:rPr>
      </w:pPr>
      <w:r w:rsidRPr="00475F86">
        <w:rPr>
          <w:sz w:val="36"/>
          <w:szCs w:val="36"/>
        </w:rPr>
        <w:t xml:space="preserve">Χάρτης των </w:t>
      </w:r>
      <w:r w:rsidRPr="00A47D7F">
        <w:rPr>
          <w:b/>
          <w:bCs/>
          <w:sz w:val="36"/>
          <w:szCs w:val="36"/>
        </w:rPr>
        <w:t>θεμελιωδών δικαιωμάτων</w:t>
      </w:r>
      <w:r w:rsidRPr="00475F86">
        <w:rPr>
          <w:sz w:val="36"/>
          <w:szCs w:val="36"/>
        </w:rPr>
        <w:t xml:space="preserve"> της Ευρωπαϊκής Ένωσης·</w:t>
      </w:r>
    </w:p>
    <w:p w14:paraId="5E8FFC0E" w14:textId="77777777" w:rsidR="00825373" w:rsidRPr="00475F86" w:rsidRDefault="00825373" w:rsidP="00475F86">
      <w:pPr>
        <w:pStyle w:val="ListParagraph"/>
        <w:numPr>
          <w:ilvl w:val="0"/>
          <w:numId w:val="4"/>
        </w:numPr>
        <w:spacing w:line="360" w:lineRule="auto"/>
        <w:ind w:left="567" w:hanging="567"/>
        <w:jc w:val="both"/>
        <w:rPr>
          <w:sz w:val="36"/>
          <w:szCs w:val="36"/>
        </w:rPr>
      </w:pPr>
      <w:r w:rsidRPr="00475F86">
        <w:rPr>
          <w:sz w:val="36"/>
          <w:szCs w:val="36"/>
        </w:rPr>
        <w:t xml:space="preserve">H Συνθήκη περί ιδρύσεως της </w:t>
      </w:r>
      <w:r w:rsidRPr="00A47D7F">
        <w:rPr>
          <w:b/>
          <w:bCs/>
          <w:sz w:val="36"/>
          <w:szCs w:val="36"/>
        </w:rPr>
        <w:t>Ευρωπαϊκής Κοινότητας Ατομικής Ενέργειας</w:t>
      </w:r>
      <w:r w:rsidRPr="00475F86">
        <w:rPr>
          <w:sz w:val="36"/>
          <w:szCs w:val="36"/>
        </w:rPr>
        <w:t xml:space="preserve"> (</w:t>
      </w:r>
      <w:proofErr w:type="spellStart"/>
      <w:r w:rsidRPr="00475F86">
        <w:rPr>
          <w:sz w:val="36"/>
          <w:szCs w:val="36"/>
        </w:rPr>
        <w:t>Ευρατόμ</w:t>
      </w:r>
      <w:proofErr w:type="spellEnd"/>
      <w:r w:rsidRPr="00475F86">
        <w:rPr>
          <w:sz w:val="36"/>
          <w:szCs w:val="36"/>
        </w:rPr>
        <w:t>) εξακολουθεί να ισχύει ως ξεχωριστή συνθήκη·</w:t>
      </w:r>
    </w:p>
    <w:p w14:paraId="54C59926" w14:textId="7AC89FBB" w:rsidR="00825373" w:rsidRPr="00475F86" w:rsidRDefault="00825373" w:rsidP="00475F86">
      <w:pPr>
        <w:pStyle w:val="ListParagraph"/>
        <w:numPr>
          <w:ilvl w:val="0"/>
          <w:numId w:val="4"/>
        </w:numPr>
        <w:spacing w:line="360" w:lineRule="auto"/>
        <w:ind w:left="567" w:hanging="567"/>
        <w:jc w:val="both"/>
        <w:rPr>
          <w:sz w:val="36"/>
          <w:szCs w:val="36"/>
        </w:rPr>
      </w:pPr>
      <w:r w:rsidRPr="00A47D7F">
        <w:rPr>
          <w:b/>
          <w:bCs/>
          <w:sz w:val="36"/>
          <w:szCs w:val="36"/>
        </w:rPr>
        <w:t>Διεθνείς συμφωνίες</w:t>
      </w:r>
      <w:r w:rsidRPr="00475F86">
        <w:rPr>
          <w:sz w:val="36"/>
          <w:szCs w:val="36"/>
        </w:rPr>
        <w:t>·</w:t>
      </w:r>
    </w:p>
    <w:p w14:paraId="3B912E82" w14:textId="77777777" w:rsidR="00825373" w:rsidRPr="00475F86" w:rsidRDefault="00825373" w:rsidP="00475F86">
      <w:pPr>
        <w:pStyle w:val="ListParagraph"/>
        <w:numPr>
          <w:ilvl w:val="0"/>
          <w:numId w:val="4"/>
        </w:numPr>
        <w:spacing w:line="360" w:lineRule="auto"/>
        <w:ind w:left="567" w:hanging="567"/>
        <w:jc w:val="both"/>
        <w:rPr>
          <w:sz w:val="36"/>
          <w:szCs w:val="36"/>
        </w:rPr>
      </w:pPr>
      <w:r w:rsidRPr="00475F86">
        <w:rPr>
          <w:sz w:val="36"/>
          <w:szCs w:val="36"/>
        </w:rPr>
        <w:t>Γενικές αρχές του δικαίου της Ένωσης·</w:t>
      </w:r>
    </w:p>
    <w:p w14:paraId="783BB333" w14:textId="4BB1F3B0" w:rsidR="00825373" w:rsidRPr="00475F86" w:rsidRDefault="00825373" w:rsidP="00475F86">
      <w:pPr>
        <w:pStyle w:val="ListParagraph"/>
        <w:numPr>
          <w:ilvl w:val="0"/>
          <w:numId w:val="4"/>
        </w:numPr>
        <w:spacing w:line="360" w:lineRule="auto"/>
        <w:ind w:left="567" w:hanging="567"/>
        <w:jc w:val="both"/>
        <w:rPr>
          <w:sz w:val="36"/>
          <w:szCs w:val="36"/>
        </w:rPr>
      </w:pPr>
      <w:r w:rsidRPr="00A47D7F">
        <w:rPr>
          <w:b/>
          <w:bCs/>
          <w:sz w:val="36"/>
          <w:szCs w:val="36"/>
        </w:rPr>
        <w:t>Παράγωγο ή δευτερογενές</w:t>
      </w:r>
      <w:r w:rsidRPr="00475F86">
        <w:rPr>
          <w:sz w:val="36"/>
          <w:szCs w:val="36"/>
        </w:rPr>
        <w:t xml:space="preserve"> δίκαιο.</w:t>
      </w:r>
    </w:p>
    <w:p w14:paraId="71FE18E4" w14:textId="77777777" w:rsidR="000F6AFE" w:rsidRDefault="000F6AFE" w:rsidP="000F6AFE">
      <w:pPr>
        <w:spacing w:line="276" w:lineRule="auto"/>
        <w:jc w:val="both"/>
        <w:rPr>
          <w:b/>
          <w:bCs/>
          <w:sz w:val="40"/>
          <w:szCs w:val="40"/>
        </w:rPr>
      </w:pPr>
      <w:r w:rsidRPr="000F6AFE">
        <w:rPr>
          <w:b/>
          <w:bCs/>
          <w:sz w:val="40"/>
          <w:szCs w:val="40"/>
        </w:rPr>
        <w:lastRenderedPageBreak/>
        <w:t>Είδη νομοθεσίας</w:t>
      </w:r>
    </w:p>
    <w:p w14:paraId="21EF273F" w14:textId="77777777" w:rsidR="00816D04" w:rsidRPr="000F6AFE" w:rsidRDefault="00816D04" w:rsidP="000F6AFE">
      <w:pPr>
        <w:spacing w:line="276" w:lineRule="auto"/>
        <w:jc w:val="both"/>
        <w:rPr>
          <w:b/>
          <w:bCs/>
          <w:sz w:val="40"/>
          <w:szCs w:val="40"/>
        </w:rPr>
      </w:pPr>
    </w:p>
    <w:p w14:paraId="0DCF7ED5" w14:textId="34C43CCC" w:rsidR="000F6AFE" w:rsidRPr="00D22559" w:rsidRDefault="000F6AFE" w:rsidP="00D22559">
      <w:pPr>
        <w:pStyle w:val="ListParagraph"/>
        <w:numPr>
          <w:ilvl w:val="0"/>
          <w:numId w:val="5"/>
        </w:numPr>
        <w:spacing w:line="276" w:lineRule="auto"/>
        <w:jc w:val="both"/>
        <w:rPr>
          <w:b/>
          <w:bCs/>
          <w:sz w:val="36"/>
          <w:szCs w:val="36"/>
        </w:rPr>
      </w:pPr>
      <w:r w:rsidRPr="00D22559">
        <w:rPr>
          <w:b/>
          <w:bCs/>
          <w:sz w:val="36"/>
          <w:szCs w:val="36"/>
        </w:rPr>
        <w:t>Κανονισμοί</w:t>
      </w:r>
    </w:p>
    <w:p w14:paraId="21D88D7A" w14:textId="63F9302F" w:rsidR="000F6AFE" w:rsidRPr="000F6AFE" w:rsidRDefault="000F6AFE" w:rsidP="000F6AFE">
      <w:pPr>
        <w:spacing w:line="276" w:lineRule="auto"/>
        <w:jc w:val="both"/>
        <w:rPr>
          <w:sz w:val="36"/>
          <w:szCs w:val="36"/>
        </w:rPr>
      </w:pPr>
      <w:r w:rsidRPr="000F6AFE">
        <w:rPr>
          <w:sz w:val="36"/>
          <w:szCs w:val="36"/>
        </w:rPr>
        <w:t xml:space="preserve">Οι «κανονισμοί» είναι δεσμευτικές νομοθετικές πράξεις. Πρέπει να εφαρμόζονται στο σύνολό τους σε ολόκληρη την ΕΕ. </w:t>
      </w:r>
    </w:p>
    <w:p w14:paraId="0BB846C8" w14:textId="33BD47AD" w:rsidR="000F6AFE" w:rsidRPr="00D22559" w:rsidRDefault="000F6AFE" w:rsidP="00D22559">
      <w:pPr>
        <w:pStyle w:val="ListParagraph"/>
        <w:numPr>
          <w:ilvl w:val="0"/>
          <w:numId w:val="5"/>
        </w:numPr>
        <w:spacing w:line="276" w:lineRule="auto"/>
        <w:jc w:val="both"/>
        <w:rPr>
          <w:b/>
          <w:bCs/>
          <w:sz w:val="36"/>
          <w:szCs w:val="36"/>
        </w:rPr>
      </w:pPr>
      <w:r w:rsidRPr="00D22559">
        <w:rPr>
          <w:b/>
          <w:bCs/>
          <w:sz w:val="36"/>
          <w:szCs w:val="36"/>
        </w:rPr>
        <w:t>Οδηγίες</w:t>
      </w:r>
    </w:p>
    <w:p w14:paraId="397091DD" w14:textId="01A5A126" w:rsidR="0024646C" w:rsidRDefault="000F6AFE" w:rsidP="000F6AFE">
      <w:pPr>
        <w:spacing w:line="276" w:lineRule="auto"/>
        <w:jc w:val="both"/>
        <w:rPr>
          <w:sz w:val="36"/>
          <w:szCs w:val="36"/>
        </w:rPr>
      </w:pPr>
      <w:r w:rsidRPr="000F6AFE">
        <w:rPr>
          <w:sz w:val="36"/>
          <w:szCs w:val="36"/>
        </w:rPr>
        <w:t>Οι οδηγίες είναι νομοθετικές πράξεις που ορίζουν έναν στόχο τον οποίο πρέπει να επιτύχουν οι χώρες της ΕΕ. Ωστόσο, εναπόκειται στην κάθε χώρα να θεσπίσει τους δικούς της νόμους για την επίτευξη των στόχων αυτών.</w:t>
      </w:r>
    </w:p>
    <w:p w14:paraId="7CBD508E" w14:textId="56397E30" w:rsidR="00D9701B" w:rsidRPr="00D9701B" w:rsidRDefault="00D9701B" w:rsidP="00D9701B">
      <w:pPr>
        <w:pStyle w:val="ListParagraph"/>
        <w:numPr>
          <w:ilvl w:val="0"/>
          <w:numId w:val="5"/>
        </w:numPr>
        <w:spacing w:line="276" w:lineRule="auto"/>
        <w:jc w:val="both"/>
        <w:rPr>
          <w:b/>
          <w:bCs/>
          <w:sz w:val="36"/>
          <w:szCs w:val="36"/>
        </w:rPr>
      </w:pPr>
      <w:r w:rsidRPr="00D9701B">
        <w:rPr>
          <w:b/>
          <w:bCs/>
          <w:sz w:val="36"/>
          <w:szCs w:val="36"/>
        </w:rPr>
        <w:t>Αποφάσεις</w:t>
      </w:r>
    </w:p>
    <w:p w14:paraId="5CC6C02D" w14:textId="05C857F1" w:rsidR="00E74BAE" w:rsidRDefault="00D9701B" w:rsidP="00D9701B">
      <w:pPr>
        <w:spacing w:line="276" w:lineRule="auto"/>
        <w:jc w:val="both"/>
        <w:rPr>
          <w:sz w:val="36"/>
          <w:szCs w:val="36"/>
        </w:rPr>
      </w:pPr>
      <w:r w:rsidRPr="00D9701B">
        <w:rPr>
          <w:sz w:val="36"/>
          <w:szCs w:val="36"/>
        </w:rPr>
        <w:t>Οι «αποφάσεις» είναι δεσμευτικές για αυτούς στους οποίους απευθύνονται (π.χ. χώρα της ΕΕ ή συγκεκριμένη εταιρεία) και έχουν άμεση εφαρμογή.</w:t>
      </w:r>
    </w:p>
    <w:p w14:paraId="72BD597A" w14:textId="3EDF8423" w:rsidR="00816D04" w:rsidRPr="00816D04" w:rsidRDefault="00816D04" w:rsidP="00816D04">
      <w:pPr>
        <w:pStyle w:val="ListParagraph"/>
        <w:numPr>
          <w:ilvl w:val="0"/>
          <w:numId w:val="5"/>
        </w:numPr>
        <w:spacing w:line="276" w:lineRule="auto"/>
        <w:jc w:val="both"/>
        <w:rPr>
          <w:b/>
          <w:bCs/>
          <w:sz w:val="36"/>
          <w:szCs w:val="36"/>
        </w:rPr>
      </w:pPr>
      <w:r w:rsidRPr="00816D04">
        <w:rPr>
          <w:b/>
          <w:bCs/>
          <w:sz w:val="36"/>
          <w:szCs w:val="36"/>
        </w:rPr>
        <w:t>Συστάσεις</w:t>
      </w:r>
    </w:p>
    <w:p w14:paraId="0B5EE4CC" w14:textId="651E9295" w:rsidR="000918A3" w:rsidRDefault="00816D04" w:rsidP="00816D04">
      <w:pPr>
        <w:spacing w:line="276" w:lineRule="auto"/>
        <w:jc w:val="both"/>
        <w:rPr>
          <w:sz w:val="36"/>
          <w:szCs w:val="36"/>
        </w:rPr>
      </w:pPr>
      <w:r w:rsidRPr="00816D04">
        <w:rPr>
          <w:sz w:val="36"/>
          <w:szCs w:val="36"/>
        </w:rPr>
        <w:t>Οι «συστάσεις» δεν είναι δεσμευτικές.</w:t>
      </w:r>
    </w:p>
    <w:p w14:paraId="013C7136" w14:textId="77777777" w:rsidR="000918A3" w:rsidRPr="001B3F9E" w:rsidRDefault="000918A3" w:rsidP="000918A3">
      <w:pPr>
        <w:rPr>
          <w:b/>
          <w:bCs/>
          <w:sz w:val="40"/>
          <w:szCs w:val="40"/>
        </w:rPr>
      </w:pPr>
      <w:r w:rsidRPr="00077F75">
        <w:rPr>
          <w:b/>
          <w:bCs/>
          <w:sz w:val="40"/>
          <w:szCs w:val="40"/>
        </w:rPr>
        <w:lastRenderedPageBreak/>
        <w:t>Το δίκαιο της ΕΕ και η εφαρμογή του</w:t>
      </w:r>
    </w:p>
    <w:p w14:paraId="06CFE030" w14:textId="0AE1D06A" w:rsidR="000918A3" w:rsidRPr="00077F75" w:rsidRDefault="000918A3" w:rsidP="000918A3">
      <w:pPr>
        <w:jc w:val="both"/>
        <w:rPr>
          <w:sz w:val="36"/>
          <w:szCs w:val="36"/>
        </w:rPr>
      </w:pPr>
      <w:r>
        <w:rPr>
          <w:sz w:val="36"/>
          <w:szCs w:val="36"/>
        </w:rPr>
        <w:t>Ο</w:t>
      </w:r>
      <w:r w:rsidRPr="00077F75">
        <w:rPr>
          <w:sz w:val="36"/>
          <w:szCs w:val="36"/>
        </w:rPr>
        <w:t xml:space="preserve">ι </w:t>
      </w:r>
      <w:r w:rsidRPr="00816D04">
        <w:rPr>
          <w:b/>
          <w:bCs/>
          <w:sz w:val="36"/>
          <w:szCs w:val="36"/>
        </w:rPr>
        <w:t>οδηγίες</w:t>
      </w:r>
      <w:r w:rsidRPr="00077F75">
        <w:rPr>
          <w:sz w:val="36"/>
          <w:szCs w:val="36"/>
        </w:rPr>
        <w:t xml:space="preserve"> πρέπει να ενσωματώνονται στην εθνική νομοθεσία των χωρών της ΕΕ.</w:t>
      </w:r>
    </w:p>
    <w:p w14:paraId="6FD8546C" w14:textId="77777777" w:rsidR="000918A3" w:rsidRDefault="000918A3" w:rsidP="000918A3">
      <w:pPr>
        <w:jc w:val="both"/>
        <w:rPr>
          <w:sz w:val="36"/>
          <w:szCs w:val="36"/>
        </w:rPr>
      </w:pPr>
      <w:r w:rsidRPr="00077F75">
        <w:rPr>
          <w:sz w:val="36"/>
          <w:szCs w:val="36"/>
        </w:rPr>
        <w:t>Κάθε οδηγία προβλέπει μια προθεσμία εντός της οποίας οι χώρες της ΕΕ πρέπει να έχουν ενσωματώσει τις διατάξεις της στην εθνική τους νομοθεσία και να έχουν ενημερώσει σχετικά την Επιτροπή.</w:t>
      </w:r>
      <w:r w:rsidRPr="00CD1621">
        <w:rPr>
          <w:sz w:val="36"/>
          <w:szCs w:val="36"/>
        </w:rPr>
        <w:t xml:space="preserve"> </w:t>
      </w:r>
    </w:p>
    <w:p w14:paraId="592BA769" w14:textId="77777777" w:rsidR="000918A3" w:rsidRDefault="000918A3" w:rsidP="000918A3">
      <w:pPr>
        <w:jc w:val="both"/>
        <w:rPr>
          <w:sz w:val="36"/>
          <w:szCs w:val="36"/>
        </w:rPr>
      </w:pPr>
      <w:r w:rsidRPr="00077F75">
        <w:rPr>
          <w:sz w:val="36"/>
          <w:szCs w:val="36"/>
        </w:rPr>
        <w:t xml:space="preserve">Οι </w:t>
      </w:r>
      <w:r w:rsidRPr="00816D04">
        <w:rPr>
          <w:b/>
          <w:bCs/>
          <w:sz w:val="36"/>
          <w:szCs w:val="36"/>
        </w:rPr>
        <w:t>κανονισμοί</w:t>
      </w:r>
      <w:r w:rsidRPr="00077F75">
        <w:rPr>
          <w:sz w:val="36"/>
          <w:szCs w:val="36"/>
        </w:rPr>
        <w:t xml:space="preserve"> και οι </w:t>
      </w:r>
      <w:r w:rsidRPr="00816D04">
        <w:rPr>
          <w:b/>
          <w:bCs/>
          <w:sz w:val="36"/>
          <w:szCs w:val="36"/>
        </w:rPr>
        <w:t>αποφάσεις</w:t>
      </w:r>
      <w:r w:rsidRPr="00077F75">
        <w:rPr>
          <w:sz w:val="36"/>
          <w:szCs w:val="36"/>
        </w:rPr>
        <w:t xml:space="preserve"> αποκτούν αυτομάτως δεσμευτικό χαρακτήρα σε όλη την ΕΕ από την ημερομηνία έναρξης ισχύος τους. </w:t>
      </w:r>
    </w:p>
    <w:p w14:paraId="7AC2463A" w14:textId="77777777" w:rsidR="000918A3" w:rsidRPr="00077F75" w:rsidRDefault="000918A3" w:rsidP="000918A3">
      <w:pPr>
        <w:jc w:val="both"/>
        <w:rPr>
          <w:sz w:val="36"/>
          <w:szCs w:val="36"/>
        </w:rPr>
      </w:pPr>
      <w:r w:rsidRPr="00077F75">
        <w:rPr>
          <w:sz w:val="36"/>
          <w:szCs w:val="36"/>
        </w:rPr>
        <w:t>Ωστόσο, ενδέχεται να απαιτούνται αλλαγές στην εθνική νομοθεσία ή η εφαρμογή τους από εθνικούς οργανισμούς και ρυθμιστικές αρχές.</w:t>
      </w:r>
    </w:p>
    <w:p w14:paraId="0A0D0C2B" w14:textId="77777777" w:rsidR="000918A3" w:rsidRDefault="000918A3" w:rsidP="000918A3">
      <w:pPr>
        <w:jc w:val="both"/>
        <w:rPr>
          <w:sz w:val="36"/>
          <w:szCs w:val="36"/>
        </w:rPr>
      </w:pPr>
      <w:r w:rsidRPr="004767A7">
        <w:rPr>
          <w:sz w:val="36"/>
          <w:szCs w:val="36"/>
        </w:rPr>
        <w:t xml:space="preserve">Η </w:t>
      </w:r>
      <w:r w:rsidRPr="00816D04">
        <w:rPr>
          <w:b/>
          <w:bCs/>
          <w:sz w:val="36"/>
          <w:szCs w:val="36"/>
        </w:rPr>
        <w:t>Ευρωπαϊκή Επιτροπή</w:t>
      </w:r>
      <w:r w:rsidRPr="004767A7">
        <w:rPr>
          <w:sz w:val="36"/>
          <w:szCs w:val="36"/>
        </w:rPr>
        <w:t xml:space="preserve"> παρακολουθεί κατά πόσο η νομοθεσία της ΕΕ εφαρμόζεται ορθά και εγκαίρως και, στην αντίθετη περίπτωση, λαμβάνει τα κατάλληλα μέτρα.</w:t>
      </w:r>
    </w:p>
    <w:p w14:paraId="31989315" w14:textId="77777777" w:rsidR="000918A3" w:rsidRPr="001B3F9E" w:rsidRDefault="000918A3" w:rsidP="000918A3">
      <w:pPr>
        <w:jc w:val="both"/>
        <w:rPr>
          <w:sz w:val="36"/>
          <w:szCs w:val="36"/>
        </w:rPr>
      </w:pPr>
      <w:r w:rsidRPr="001B3F9E">
        <w:rPr>
          <w:sz w:val="36"/>
          <w:szCs w:val="36"/>
        </w:rPr>
        <w:t>Ως εκ τούτου, η Επιτροπή προβαίνει στις δέουσες ενέργειες σε περίπτωση που μια χώρα της ΕΕ:</w:t>
      </w:r>
    </w:p>
    <w:p w14:paraId="454F4EB7" w14:textId="77777777" w:rsidR="000918A3" w:rsidRPr="001B3F9E" w:rsidRDefault="000918A3" w:rsidP="000918A3">
      <w:pPr>
        <w:pStyle w:val="ListParagraph"/>
        <w:numPr>
          <w:ilvl w:val="0"/>
          <w:numId w:val="3"/>
        </w:numPr>
        <w:spacing w:line="276" w:lineRule="auto"/>
        <w:jc w:val="both"/>
        <w:rPr>
          <w:sz w:val="36"/>
          <w:szCs w:val="36"/>
        </w:rPr>
      </w:pPr>
      <w:r w:rsidRPr="001B3F9E">
        <w:rPr>
          <w:sz w:val="36"/>
          <w:szCs w:val="36"/>
        </w:rPr>
        <w:t>δεν έχει ενσωματώσει πλήρως μια οδηγία στην εθνική της νομοθεσία εντός της καθορισμένης προθεσμίας,</w:t>
      </w:r>
    </w:p>
    <w:p w14:paraId="0E8BA444" w14:textId="77777777" w:rsidR="000918A3" w:rsidRDefault="000918A3" w:rsidP="000918A3">
      <w:pPr>
        <w:pStyle w:val="ListParagraph"/>
        <w:numPr>
          <w:ilvl w:val="0"/>
          <w:numId w:val="3"/>
        </w:numPr>
        <w:spacing w:line="276" w:lineRule="auto"/>
        <w:jc w:val="both"/>
        <w:rPr>
          <w:sz w:val="36"/>
          <w:szCs w:val="36"/>
        </w:rPr>
      </w:pPr>
      <w:r w:rsidRPr="001B3F9E">
        <w:rPr>
          <w:sz w:val="36"/>
          <w:szCs w:val="36"/>
        </w:rPr>
        <w:t>ενδεχομένως δεν εφαρμόζει ορθά το δίκαιο της ΕΕ.</w:t>
      </w:r>
    </w:p>
    <w:p w14:paraId="53CE4942" w14:textId="77777777" w:rsidR="00C76477" w:rsidRDefault="00C76477" w:rsidP="00B26B5C">
      <w:pPr>
        <w:spacing w:line="276" w:lineRule="auto"/>
        <w:jc w:val="both"/>
        <w:rPr>
          <w:b/>
          <w:bCs/>
          <w:sz w:val="40"/>
          <w:szCs w:val="40"/>
        </w:rPr>
      </w:pPr>
    </w:p>
    <w:p w14:paraId="62535DDB" w14:textId="77777777" w:rsidR="00C76477" w:rsidRDefault="00C76477" w:rsidP="00B26B5C">
      <w:pPr>
        <w:spacing w:line="276" w:lineRule="auto"/>
        <w:jc w:val="both"/>
        <w:rPr>
          <w:b/>
          <w:bCs/>
          <w:sz w:val="40"/>
          <w:szCs w:val="40"/>
        </w:rPr>
      </w:pPr>
    </w:p>
    <w:p w14:paraId="655D3146" w14:textId="77777777" w:rsidR="00C76477" w:rsidRDefault="00C76477" w:rsidP="00B26B5C">
      <w:pPr>
        <w:spacing w:line="276" w:lineRule="auto"/>
        <w:jc w:val="both"/>
        <w:rPr>
          <w:b/>
          <w:bCs/>
          <w:sz w:val="40"/>
          <w:szCs w:val="40"/>
        </w:rPr>
      </w:pPr>
    </w:p>
    <w:p w14:paraId="19C2AC6B" w14:textId="43384397" w:rsidR="005D1EA2" w:rsidRPr="008F07C2" w:rsidRDefault="00813AE7" w:rsidP="00B26B5C">
      <w:pPr>
        <w:spacing w:line="276" w:lineRule="auto"/>
        <w:jc w:val="both"/>
        <w:rPr>
          <w:b/>
          <w:bCs/>
          <w:sz w:val="40"/>
          <w:szCs w:val="40"/>
        </w:rPr>
      </w:pPr>
      <w:r w:rsidRPr="00813AE7">
        <w:rPr>
          <w:b/>
          <w:bCs/>
          <w:sz w:val="40"/>
          <w:szCs w:val="40"/>
        </w:rPr>
        <w:t xml:space="preserve">Οι </w:t>
      </w:r>
      <w:r w:rsidR="005D1EA2" w:rsidRPr="00813AE7">
        <w:rPr>
          <w:b/>
          <w:bCs/>
          <w:sz w:val="40"/>
          <w:szCs w:val="40"/>
        </w:rPr>
        <w:t>τρεις Ευρωπαϊκοί Οργανισμοί Τυποποίησης</w:t>
      </w:r>
      <w:r w:rsidR="00072AE7" w:rsidRPr="00072AE7">
        <w:rPr>
          <w:b/>
          <w:bCs/>
          <w:sz w:val="40"/>
          <w:szCs w:val="40"/>
        </w:rPr>
        <w:t xml:space="preserve"> (</w:t>
      </w:r>
      <w:r w:rsidR="00072AE7">
        <w:rPr>
          <w:b/>
          <w:bCs/>
          <w:sz w:val="40"/>
          <w:szCs w:val="40"/>
        </w:rPr>
        <w:t>Παραγωγή ΕΝ Προτύπων)</w:t>
      </w:r>
    </w:p>
    <w:p w14:paraId="6ED857CB" w14:textId="77777777" w:rsidR="008F07C2" w:rsidRPr="008F07C2" w:rsidRDefault="008F07C2" w:rsidP="00B26B5C">
      <w:pPr>
        <w:spacing w:line="276" w:lineRule="auto"/>
        <w:jc w:val="both"/>
        <w:rPr>
          <w:b/>
          <w:bCs/>
          <w:sz w:val="40"/>
          <w:szCs w:val="40"/>
        </w:rPr>
      </w:pPr>
    </w:p>
    <w:p w14:paraId="02E76C18" w14:textId="1DBB8371" w:rsidR="00B26B5C" w:rsidRPr="00813AE7" w:rsidRDefault="00813AE7" w:rsidP="00813AE7">
      <w:pPr>
        <w:spacing w:line="276" w:lineRule="auto"/>
        <w:jc w:val="both"/>
        <w:rPr>
          <w:sz w:val="36"/>
          <w:szCs w:val="36"/>
        </w:rPr>
      </w:pPr>
      <w:r w:rsidRPr="00813AE7">
        <w:rPr>
          <w:sz w:val="36"/>
          <w:szCs w:val="36"/>
        </w:rPr>
        <w:t>1.</w:t>
      </w:r>
      <w:r>
        <w:rPr>
          <w:sz w:val="36"/>
          <w:szCs w:val="36"/>
        </w:rPr>
        <w:t xml:space="preserve"> </w:t>
      </w:r>
      <w:r w:rsidR="00B26B5C" w:rsidRPr="00813AE7">
        <w:rPr>
          <w:sz w:val="36"/>
          <w:szCs w:val="36"/>
        </w:rPr>
        <w:t xml:space="preserve">Η </w:t>
      </w:r>
      <w:proofErr w:type="spellStart"/>
      <w:r w:rsidR="00B26B5C" w:rsidRPr="00813AE7">
        <w:rPr>
          <w:b/>
          <w:bCs/>
          <w:sz w:val="36"/>
          <w:szCs w:val="36"/>
        </w:rPr>
        <w:t>CEN</w:t>
      </w:r>
      <w:proofErr w:type="spellEnd"/>
      <w:r w:rsidR="004C7163" w:rsidRPr="004C7163">
        <w:rPr>
          <w:b/>
          <w:bCs/>
          <w:sz w:val="36"/>
          <w:szCs w:val="36"/>
        </w:rPr>
        <w:t xml:space="preserve"> </w:t>
      </w:r>
      <w:r w:rsidR="004C7163" w:rsidRPr="004C7163">
        <w:rPr>
          <w:sz w:val="36"/>
          <w:szCs w:val="36"/>
        </w:rPr>
        <w:t xml:space="preserve">(European Committee for </w:t>
      </w:r>
      <w:proofErr w:type="spellStart"/>
      <w:r w:rsidR="004C7163" w:rsidRPr="004C7163">
        <w:rPr>
          <w:sz w:val="36"/>
          <w:szCs w:val="36"/>
        </w:rPr>
        <w:t>Standardization</w:t>
      </w:r>
      <w:proofErr w:type="spellEnd"/>
      <w:r w:rsidR="004C7163" w:rsidRPr="004C7163">
        <w:rPr>
          <w:sz w:val="36"/>
          <w:szCs w:val="36"/>
        </w:rPr>
        <w:t>)</w:t>
      </w:r>
      <w:r w:rsidR="00B26B5C" w:rsidRPr="00813AE7">
        <w:rPr>
          <w:sz w:val="36"/>
          <w:szCs w:val="36"/>
        </w:rPr>
        <w:t>, η Ευρωπαϊκή Επιτροπή Τυποποίησης, είναι μια ένωση που συγκεντρώνει τους Εθνικούς Φορείς Τυποποίησης 34 ευρωπαϊκών χωρών.</w:t>
      </w:r>
    </w:p>
    <w:p w14:paraId="25548B5B" w14:textId="23AE18C8" w:rsidR="003315D1" w:rsidRPr="00786428" w:rsidRDefault="003315D1" w:rsidP="003315D1">
      <w:pPr>
        <w:spacing w:line="276" w:lineRule="auto"/>
        <w:jc w:val="both"/>
        <w:rPr>
          <w:sz w:val="36"/>
          <w:szCs w:val="36"/>
          <w:lang w:val="en-GB"/>
        </w:rPr>
      </w:pPr>
      <w:r w:rsidRPr="00786428">
        <w:rPr>
          <w:sz w:val="36"/>
          <w:szCs w:val="36"/>
          <w:lang w:val="en-GB"/>
        </w:rPr>
        <w:t xml:space="preserve">2. </w:t>
      </w:r>
      <w:r w:rsidRPr="003315D1">
        <w:rPr>
          <w:sz w:val="36"/>
          <w:szCs w:val="36"/>
        </w:rPr>
        <w:t>Η</w:t>
      </w:r>
      <w:r w:rsidRPr="00786428">
        <w:rPr>
          <w:sz w:val="36"/>
          <w:szCs w:val="36"/>
          <w:lang w:val="en-GB"/>
        </w:rPr>
        <w:t xml:space="preserve"> </w:t>
      </w:r>
      <w:r w:rsidRPr="00786428">
        <w:rPr>
          <w:b/>
          <w:bCs/>
          <w:sz w:val="36"/>
          <w:szCs w:val="36"/>
          <w:lang w:val="en-GB"/>
        </w:rPr>
        <w:t>CENELEC</w:t>
      </w:r>
      <w:r w:rsidRPr="00786428">
        <w:rPr>
          <w:sz w:val="36"/>
          <w:szCs w:val="36"/>
          <w:lang w:val="en-GB"/>
        </w:rPr>
        <w:t xml:space="preserve"> (</w:t>
      </w:r>
      <w:r w:rsidR="00786428" w:rsidRPr="00786428">
        <w:rPr>
          <w:sz w:val="36"/>
          <w:szCs w:val="36"/>
          <w:lang w:val="en-GB"/>
        </w:rPr>
        <w:t>European Committee for Electrotechnical Standardization</w:t>
      </w:r>
      <w:r w:rsidRPr="00786428">
        <w:rPr>
          <w:sz w:val="36"/>
          <w:szCs w:val="36"/>
          <w:lang w:val="en-GB"/>
        </w:rPr>
        <w:t>)</w:t>
      </w:r>
      <w:r w:rsidR="00786428" w:rsidRPr="00786428">
        <w:rPr>
          <w:sz w:val="36"/>
          <w:szCs w:val="36"/>
          <w:lang w:val="en-GB"/>
        </w:rPr>
        <w:t>.</w:t>
      </w:r>
    </w:p>
    <w:p w14:paraId="0C23EB5A" w14:textId="36927001" w:rsidR="00813AE7" w:rsidRDefault="003315D1" w:rsidP="003315D1">
      <w:pPr>
        <w:spacing w:line="276" w:lineRule="auto"/>
        <w:jc w:val="both"/>
        <w:rPr>
          <w:sz w:val="36"/>
          <w:szCs w:val="36"/>
          <w:lang w:val="en-GB"/>
        </w:rPr>
      </w:pPr>
      <w:r w:rsidRPr="00072AE7">
        <w:rPr>
          <w:sz w:val="36"/>
          <w:szCs w:val="36"/>
          <w:lang w:val="en-GB"/>
        </w:rPr>
        <w:t xml:space="preserve">3. </w:t>
      </w:r>
      <w:r>
        <w:rPr>
          <w:sz w:val="36"/>
          <w:szCs w:val="36"/>
        </w:rPr>
        <w:t>Η</w:t>
      </w:r>
      <w:r w:rsidRPr="00072AE7">
        <w:rPr>
          <w:sz w:val="36"/>
          <w:szCs w:val="36"/>
          <w:lang w:val="en-GB"/>
        </w:rPr>
        <w:t xml:space="preserve"> </w:t>
      </w:r>
      <w:r w:rsidRPr="00072AE7">
        <w:rPr>
          <w:b/>
          <w:bCs/>
          <w:sz w:val="36"/>
          <w:szCs w:val="36"/>
          <w:lang w:val="en-GB"/>
        </w:rPr>
        <w:t>ETSI</w:t>
      </w:r>
      <w:r w:rsidRPr="00072AE7">
        <w:rPr>
          <w:sz w:val="36"/>
          <w:szCs w:val="36"/>
          <w:lang w:val="en-GB"/>
        </w:rPr>
        <w:t xml:space="preserve"> (</w:t>
      </w:r>
      <w:r w:rsidR="00072AE7" w:rsidRPr="00072AE7">
        <w:rPr>
          <w:sz w:val="36"/>
          <w:szCs w:val="36"/>
          <w:lang w:val="en-GB"/>
        </w:rPr>
        <w:t>European Telecommunications Standards Institute</w:t>
      </w:r>
      <w:r w:rsidRPr="00072AE7">
        <w:rPr>
          <w:sz w:val="36"/>
          <w:szCs w:val="36"/>
          <w:lang w:val="en-GB"/>
        </w:rPr>
        <w:t>)</w:t>
      </w:r>
      <w:r w:rsidR="00072AE7">
        <w:rPr>
          <w:sz w:val="36"/>
          <w:szCs w:val="36"/>
          <w:lang w:val="en-GB"/>
        </w:rPr>
        <w:t>.</w:t>
      </w:r>
    </w:p>
    <w:p w14:paraId="0146065E" w14:textId="77777777" w:rsidR="00A66236" w:rsidRDefault="00A66236" w:rsidP="003315D1">
      <w:pPr>
        <w:spacing w:line="276" w:lineRule="auto"/>
        <w:jc w:val="both"/>
        <w:rPr>
          <w:sz w:val="36"/>
          <w:szCs w:val="36"/>
          <w:lang w:val="en-GB"/>
        </w:rPr>
      </w:pPr>
    </w:p>
    <w:p w14:paraId="16DFCC2D" w14:textId="77777777" w:rsidR="00A66236" w:rsidRDefault="00A66236" w:rsidP="003315D1">
      <w:pPr>
        <w:spacing w:line="276" w:lineRule="auto"/>
        <w:jc w:val="both"/>
        <w:rPr>
          <w:sz w:val="36"/>
          <w:szCs w:val="36"/>
          <w:lang w:val="en-GB"/>
        </w:rPr>
      </w:pPr>
    </w:p>
    <w:p w14:paraId="39441315" w14:textId="77777777" w:rsidR="00A66236" w:rsidRDefault="00A66236" w:rsidP="003315D1">
      <w:pPr>
        <w:spacing w:line="276" w:lineRule="auto"/>
        <w:jc w:val="both"/>
        <w:rPr>
          <w:sz w:val="36"/>
          <w:szCs w:val="36"/>
          <w:lang w:val="en-GB"/>
        </w:rPr>
      </w:pPr>
    </w:p>
    <w:p w14:paraId="30FD7DF0" w14:textId="7788C808" w:rsidR="002A5DA6" w:rsidRDefault="002A5DA6" w:rsidP="001D36D0">
      <w:pPr>
        <w:spacing w:line="276" w:lineRule="auto"/>
        <w:jc w:val="both"/>
        <w:rPr>
          <w:b/>
          <w:bCs/>
          <w:sz w:val="40"/>
          <w:szCs w:val="40"/>
        </w:rPr>
      </w:pPr>
      <w:r w:rsidRPr="002A5DA6">
        <w:rPr>
          <w:b/>
          <w:bCs/>
          <w:sz w:val="40"/>
          <w:szCs w:val="40"/>
        </w:rPr>
        <w:lastRenderedPageBreak/>
        <w:t xml:space="preserve">Νέα Προσέγγιση </w:t>
      </w:r>
      <w:r w:rsidR="00AC28D6">
        <w:rPr>
          <w:b/>
          <w:bCs/>
          <w:sz w:val="40"/>
          <w:szCs w:val="40"/>
        </w:rPr>
        <w:t xml:space="preserve">– Κανονισμοί </w:t>
      </w:r>
      <w:r w:rsidRPr="002A5DA6">
        <w:rPr>
          <w:b/>
          <w:bCs/>
          <w:sz w:val="40"/>
          <w:szCs w:val="40"/>
        </w:rPr>
        <w:t>&amp; Οδηγίες Ε.Ε.</w:t>
      </w:r>
    </w:p>
    <w:p w14:paraId="3815B153" w14:textId="77777777" w:rsidR="0026262D" w:rsidRDefault="0026262D" w:rsidP="0026262D">
      <w:pPr>
        <w:spacing w:line="276" w:lineRule="auto"/>
        <w:jc w:val="both"/>
        <w:rPr>
          <w:sz w:val="36"/>
          <w:szCs w:val="36"/>
        </w:rPr>
      </w:pPr>
      <w:r w:rsidRPr="0026262D">
        <w:rPr>
          <w:sz w:val="36"/>
          <w:szCs w:val="36"/>
        </w:rPr>
        <w:t xml:space="preserve">Η </w:t>
      </w:r>
      <w:r w:rsidRPr="0009542E">
        <w:rPr>
          <w:b/>
          <w:bCs/>
          <w:sz w:val="36"/>
          <w:szCs w:val="36"/>
        </w:rPr>
        <w:t>ελεύθερη κυκλοφορία των προϊόντων</w:t>
      </w:r>
      <w:r w:rsidRPr="0026262D">
        <w:rPr>
          <w:sz w:val="36"/>
          <w:szCs w:val="36"/>
        </w:rPr>
        <w:t xml:space="preserve"> αποτελεί τον ακρογωνιαίο λίθο της </w:t>
      </w:r>
      <w:r w:rsidRPr="0009542E">
        <w:rPr>
          <w:b/>
          <w:bCs/>
          <w:sz w:val="36"/>
          <w:szCs w:val="36"/>
        </w:rPr>
        <w:t>ενιαίας αγοράς</w:t>
      </w:r>
      <w:r w:rsidRPr="0026262D">
        <w:rPr>
          <w:sz w:val="36"/>
          <w:szCs w:val="36"/>
        </w:rPr>
        <w:t xml:space="preserve">. Οι μηχανισμοί που εφαρμόζονται για την επίτευξη του σκοπού αυτού, βασίζονται στην πρόληψη νέων εμποδίων στο εμπόριο, στην αμοιβαία αναγνώριση και στην τεχνική εναρμόνιση. </w:t>
      </w:r>
    </w:p>
    <w:p w14:paraId="0363CC7E" w14:textId="5BBD4FD5" w:rsidR="008D0007" w:rsidRPr="008D0007" w:rsidRDefault="0026262D" w:rsidP="008D0007">
      <w:pPr>
        <w:spacing w:line="276" w:lineRule="auto"/>
        <w:jc w:val="both"/>
        <w:rPr>
          <w:sz w:val="36"/>
          <w:szCs w:val="36"/>
        </w:rPr>
      </w:pPr>
      <w:r w:rsidRPr="0026262D">
        <w:rPr>
          <w:sz w:val="36"/>
          <w:szCs w:val="36"/>
        </w:rPr>
        <w:t xml:space="preserve">Νέα εμπόδια στο εμπόριο, τα οποία προκύπτουν από την έγκριση αποκλινόντων εθνικών τεχνικών προτύπων και κανονισμών, μπορούν να προλαμβάνονται μέσω διαδικασίας που θεσπίζεται δυνάμει της οδηγίας </w:t>
      </w:r>
      <w:r w:rsidR="006248F3" w:rsidRPr="006248F3">
        <w:rPr>
          <w:sz w:val="36"/>
          <w:szCs w:val="36"/>
        </w:rPr>
        <w:t>2015/1535</w:t>
      </w:r>
      <w:r w:rsidRPr="0026262D">
        <w:rPr>
          <w:sz w:val="36"/>
          <w:szCs w:val="36"/>
        </w:rPr>
        <w:t>.</w:t>
      </w:r>
      <w:r w:rsidR="0009542E">
        <w:rPr>
          <w:sz w:val="36"/>
          <w:szCs w:val="36"/>
        </w:rPr>
        <w:t xml:space="preserve"> </w:t>
      </w:r>
      <w:r w:rsidR="008D0007" w:rsidRPr="008D0007">
        <w:rPr>
          <w:sz w:val="36"/>
          <w:szCs w:val="36"/>
        </w:rPr>
        <w:t>Για τους σκοπούς της παρούσας οδηγίας, νοούνται ως:</w:t>
      </w:r>
    </w:p>
    <w:p w14:paraId="30F5324D" w14:textId="05FE8205" w:rsidR="008D0007" w:rsidRPr="008D0007" w:rsidRDefault="008D0007" w:rsidP="008D0007">
      <w:pPr>
        <w:spacing w:line="276" w:lineRule="auto"/>
        <w:jc w:val="both"/>
        <w:rPr>
          <w:sz w:val="36"/>
          <w:szCs w:val="36"/>
        </w:rPr>
      </w:pPr>
      <w:r w:rsidRPr="008D0007">
        <w:rPr>
          <w:sz w:val="36"/>
          <w:szCs w:val="36"/>
        </w:rPr>
        <w:t>α)</w:t>
      </w:r>
      <w:r>
        <w:rPr>
          <w:sz w:val="36"/>
          <w:szCs w:val="36"/>
        </w:rPr>
        <w:t xml:space="preserve"> </w:t>
      </w:r>
      <w:r w:rsidRPr="008D0007">
        <w:rPr>
          <w:sz w:val="36"/>
          <w:szCs w:val="36"/>
        </w:rPr>
        <w:t>«</w:t>
      </w:r>
      <w:r w:rsidRPr="008D0007">
        <w:rPr>
          <w:b/>
          <w:bCs/>
          <w:sz w:val="36"/>
          <w:szCs w:val="36"/>
        </w:rPr>
        <w:t>προϊόν</w:t>
      </w:r>
      <w:r w:rsidRPr="008D0007">
        <w:rPr>
          <w:sz w:val="36"/>
          <w:szCs w:val="36"/>
        </w:rPr>
        <w:t>»: κάθε προϊόν βιομηχανικής κατασκευής, και κάθε γεωργικό προϊόν, συμπεριλαμβανομένων και των αλιευτικών προϊόντων·</w:t>
      </w:r>
    </w:p>
    <w:p w14:paraId="560B7787" w14:textId="3E87F6AF" w:rsidR="008D0007" w:rsidRPr="008D0007" w:rsidRDefault="008D0007" w:rsidP="008D0007">
      <w:pPr>
        <w:spacing w:line="276" w:lineRule="auto"/>
        <w:jc w:val="both"/>
        <w:rPr>
          <w:sz w:val="36"/>
          <w:szCs w:val="36"/>
        </w:rPr>
      </w:pPr>
      <w:r w:rsidRPr="008D0007">
        <w:rPr>
          <w:sz w:val="36"/>
          <w:szCs w:val="36"/>
        </w:rPr>
        <w:t>β)</w:t>
      </w:r>
      <w:r>
        <w:rPr>
          <w:sz w:val="36"/>
          <w:szCs w:val="36"/>
        </w:rPr>
        <w:t xml:space="preserve"> </w:t>
      </w:r>
      <w:r w:rsidRPr="008D0007">
        <w:rPr>
          <w:sz w:val="36"/>
          <w:szCs w:val="36"/>
        </w:rPr>
        <w:t>«</w:t>
      </w:r>
      <w:r w:rsidRPr="008D0007">
        <w:rPr>
          <w:b/>
          <w:bCs/>
          <w:sz w:val="36"/>
          <w:szCs w:val="36"/>
        </w:rPr>
        <w:t>υπηρεσία</w:t>
      </w:r>
      <w:r w:rsidRPr="008D0007">
        <w:rPr>
          <w:sz w:val="36"/>
          <w:szCs w:val="36"/>
        </w:rPr>
        <w:t>»: οποιαδήποτε υπηρεσία της κοινωνίας των πληροφοριών, ήτοι κάθε υπηρεσία που συνήθως παρέχεται έναντι αμοιβής, με ηλεκτρονικά μέσα εξ αποστάσεως και κατόπιν συγκεκριμένης παραγγελίας ενός αποδέκτη υπηρεσιών.</w:t>
      </w:r>
    </w:p>
    <w:p w14:paraId="2E625EA3" w14:textId="0CB835E2" w:rsidR="008D0007" w:rsidRPr="008D0007" w:rsidRDefault="008D0007" w:rsidP="008D0007">
      <w:pPr>
        <w:spacing w:line="276" w:lineRule="auto"/>
        <w:jc w:val="both"/>
        <w:rPr>
          <w:sz w:val="36"/>
          <w:szCs w:val="36"/>
        </w:rPr>
      </w:pPr>
      <w:r w:rsidRPr="008D0007">
        <w:rPr>
          <w:sz w:val="36"/>
          <w:szCs w:val="36"/>
        </w:rPr>
        <w:t>Για τους σκοπούς του παρόντος ορισμού, νοείται με τον όρο:</w:t>
      </w:r>
    </w:p>
    <w:p w14:paraId="2A306181" w14:textId="0E653515" w:rsidR="008D0007" w:rsidRPr="008D0007" w:rsidRDefault="008D0007" w:rsidP="008D0007">
      <w:pPr>
        <w:spacing w:line="276" w:lineRule="auto"/>
        <w:jc w:val="both"/>
        <w:rPr>
          <w:sz w:val="36"/>
          <w:szCs w:val="36"/>
        </w:rPr>
      </w:pPr>
      <w:r w:rsidRPr="008D0007">
        <w:rPr>
          <w:sz w:val="36"/>
          <w:szCs w:val="36"/>
        </w:rPr>
        <w:lastRenderedPageBreak/>
        <w:t>i) «</w:t>
      </w:r>
      <w:r w:rsidRPr="008D0007">
        <w:rPr>
          <w:b/>
          <w:bCs/>
          <w:sz w:val="36"/>
          <w:szCs w:val="36"/>
        </w:rPr>
        <w:t>εξ αποστάσεως</w:t>
      </w:r>
      <w:r w:rsidRPr="008D0007">
        <w:rPr>
          <w:sz w:val="36"/>
          <w:szCs w:val="36"/>
        </w:rPr>
        <w:t>»: υπηρεσία που παρέχεται χωρίς τα συμβαλλόμενα μέρη να είναι ταυτόχρονα παρόντα,</w:t>
      </w:r>
    </w:p>
    <w:p w14:paraId="71853E3C" w14:textId="39A84B37" w:rsidR="008D0007" w:rsidRPr="008D0007" w:rsidRDefault="008D0007" w:rsidP="008D0007">
      <w:pPr>
        <w:spacing w:line="276" w:lineRule="auto"/>
        <w:jc w:val="both"/>
        <w:rPr>
          <w:sz w:val="36"/>
          <w:szCs w:val="36"/>
        </w:rPr>
      </w:pPr>
      <w:proofErr w:type="spellStart"/>
      <w:r w:rsidRPr="008D0007">
        <w:rPr>
          <w:sz w:val="36"/>
          <w:szCs w:val="36"/>
        </w:rPr>
        <w:t>ii</w:t>
      </w:r>
      <w:proofErr w:type="spellEnd"/>
      <w:r w:rsidRPr="008D0007">
        <w:rPr>
          <w:sz w:val="36"/>
          <w:szCs w:val="36"/>
        </w:rPr>
        <w:t xml:space="preserve">) </w:t>
      </w:r>
      <w:r w:rsidR="00AD5412">
        <w:rPr>
          <w:sz w:val="36"/>
          <w:szCs w:val="36"/>
        </w:rPr>
        <w:t xml:space="preserve"> </w:t>
      </w:r>
      <w:r w:rsidRPr="008D0007">
        <w:rPr>
          <w:sz w:val="36"/>
          <w:szCs w:val="36"/>
        </w:rPr>
        <w:t>«</w:t>
      </w:r>
      <w:r w:rsidRPr="008D0007">
        <w:rPr>
          <w:b/>
          <w:bCs/>
          <w:sz w:val="36"/>
          <w:szCs w:val="36"/>
        </w:rPr>
        <w:t>με ηλεκτρονικά μέσα</w:t>
      </w:r>
      <w:r w:rsidRPr="008D0007">
        <w:rPr>
          <w:sz w:val="36"/>
          <w:szCs w:val="36"/>
        </w:rPr>
        <w:t>»: υπηρεσία που παρέχεται στην αφετηρία της και γίνεται αποδεκτή στον προορισμό της μέσω εξοπλισμών ηλεκτρονικής επεξεργασίας (συμπεριλαμβανομένης της ψηφιακής συμπίεσης) ή αποθήκευσης δεδομένων και η οποία παρέχεται, διαβιβάζεται και λαμβάνεται εξ ολοκλήρου μέσω τηλεφωνικής γραμμής, ραδιοφωνικής μετάδοσης, οπτικής ίνας ή με άλλα ηλεκτρομαγνητικά μέσα,</w:t>
      </w:r>
    </w:p>
    <w:p w14:paraId="76AC168E" w14:textId="4414B968" w:rsidR="008D0007" w:rsidRPr="008D0007" w:rsidRDefault="008D0007" w:rsidP="008D0007">
      <w:pPr>
        <w:spacing w:line="276" w:lineRule="auto"/>
        <w:jc w:val="both"/>
        <w:rPr>
          <w:sz w:val="36"/>
          <w:szCs w:val="36"/>
        </w:rPr>
      </w:pPr>
      <w:proofErr w:type="spellStart"/>
      <w:r w:rsidRPr="008D0007">
        <w:rPr>
          <w:sz w:val="36"/>
          <w:szCs w:val="36"/>
        </w:rPr>
        <w:t>iii</w:t>
      </w:r>
      <w:proofErr w:type="spellEnd"/>
      <w:r w:rsidRPr="008D0007">
        <w:rPr>
          <w:sz w:val="36"/>
          <w:szCs w:val="36"/>
        </w:rPr>
        <w:t>)</w:t>
      </w:r>
      <w:r w:rsidR="00AD5412">
        <w:rPr>
          <w:sz w:val="36"/>
          <w:szCs w:val="36"/>
        </w:rPr>
        <w:t xml:space="preserve"> </w:t>
      </w:r>
      <w:r w:rsidRPr="008D0007">
        <w:rPr>
          <w:sz w:val="36"/>
          <w:szCs w:val="36"/>
        </w:rPr>
        <w:t>«</w:t>
      </w:r>
      <w:r w:rsidRPr="00AD5412">
        <w:rPr>
          <w:b/>
          <w:bCs/>
          <w:sz w:val="36"/>
          <w:szCs w:val="36"/>
        </w:rPr>
        <w:t>κατόπιν συγκεκριμένης παραγγελίας ενός αποδέκτη υπηρεσιών</w:t>
      </w:r>
      <w:r w:rsidRPr="008D0007">
        <w:rPr>
          <w:sz w:val="36"/>
          <w:szCs w:val="36"/>
        </w:rPr>
        <w:t>»: υπηρεσία που παρέχεται με μετάδοση δεδομένων κατόπιν συγκεκριμένης παραγγελίας.</w:t>
      </w:r>
    </w:p>
    <w:p w14:paraId="42EA4AF5" w14:textId="77777777" w:rsidR="008D0007" w:rsidRPr="008D0007" w:rsidRDefault="008D0007" w:rsidP="008D0007">
      <w:pPr>
        <w:spacing w:line="276" w:lineRule="auto"/>
        <w:jc w:val="both"/>
        <w:rPr>
          <w:sz w:val="36"/>
          <w:szCs w:val="36"/>
        </w:rPr>
      </w:pPr>
      <w:r w:rsidRPr="008D0007">
        <w:rPr>
          <w:sz w:val="36"/>
          <w:szCs w:val="36"/>
        </w:rPr>
        <w:t>Στο παράρτημα Ι περιέχεται ενδεικτικός κατάλογος των υπηρεσιών που δεν καλύπτονται από αυτό τον ορισμό·</w:t>
      </w:r>
    </w:p>
    <w:p w14:paraId="314A7F22" w14:textId="77777777" w:rsidR="008D0007" w:rsidRPr="008D0007" w:rsidRDefault="008D0007" w:rsidP="008D0007">
      <w:pPr>
        <w:spacing w:line="276" w:lineRule="auto"/>
        <w:jc w:val="both"/>
        <w:rPr>
          <w:sz w:val="36"/>
          <w:szCs w:val="36"/>
        </w:rPr>
      </w:pPr>
    </w:p>
    <w:p w14:paraId="11FC04EF" w14:textId="6A199CFA" w:rsidR="008D0007" w:rsidRPr="008D0007" w:rsidRDefault="008D0007" w:rsidP="008D0007">
      <w:pPr>
        <w:spacing w:line="276" w:lineRule="auto"/>
        <w:jc w:val="both"/>
        <w:rPr>
          <w:sz w:val="36"/>
          <w:szCs w:val="36"/>
        </w:rPr>
      </w:pPr>
      <w:r w:rsidRPr="008D0007">
        <w:rPr>
          <w:sz w:val="36"/>
          <w:szCs w:val="36"/>
        </w:rPr>
        <w:t>γ)  «</w:t>
      </w:r>
      <w:r w:rsidRPr="00AD5412">
        <w:rPr>
          <w:b/>
          <w:bCs/>
          <w:sz w:val="36"/>
          <w:szCs w:val="36"/>
        </w:rPr>
        <w:t>τεχνική προδιαγραφή</w:t>
      </w:r>
      <w:r w:rsidRPr="008D0007">
        <w:rPr>
          <w:sz w:val="36"/>
          <w:szCs w:val="36"/>
        </w:rPr>
        <w:t xml:space="preserve">»: η προδιαγραφή που περιέχεται σε έγγραφο στο οποίο ορίζονται τα απαιτούμενα χαρακτηριστικά ενός προϊόντος, όπως τα επίπεδα ποιότητας ή ιδιότητες χρήσης, η ασφάλεια, οι διαστάσεις, συμπεριλαμβανομένων των διατάξεων που ισχύουν για το προϊόν όσον αφορά την ονομασία πώλησης, την ορολογία, τα σύμβολα, τις δοκιμές και τις </w:t>
      </w:r>
      <w:r w:rsidRPr="008D0007">
        <w:rPr>
          <w:sz w:val="36"/>
          <w:szCs w:val="36"/>
        </w:rPr>
        <w:lastRenderedPageBreak/>
        <w:t xml:space="preserve">μεθόδους δοκιμής, τη συσκευασία, τη σήμανση και το </w:t>
      </w:r>
      <w:proofErr w:type="spellStart"/>
      <w:r w:rsidRPr="008D0007">
        <w:rPr>
          <w:sz w:val="36"/>
          <w:szCs w:val="36"/>
        </w:rPr>
        <w:t>ετικετάρισμα</w:t>
      </w:r>
      <w:proofErr w:type="spellEnd"/>
      <w:r w:rsidRPr="008D0007">
        <w:rPr>
          <w:sz w:val="36"/>
          <w:szCs w:val="36"/>
        </w:rPr>
        <w:t>, καθώς και τις διαδικασίες αξιολόγησης της πιστότητας.</w:t>
      </w:r>
    </w:p>
    <w:p w14:paraId="2E88D543" w14:textId="77777777" w:rsidR="00B14DDB" w:rsidRDefault="00B14DDB" w:rsidP="00B14DDB">
      <w:pPr>
        <w:spacing w:line="276" w:lineRule="auto"/>
        <w:jc w:val="both"/>
        <w:rPr>
          <w:sz w:val="36"/>
          <w:szCs w:val="36"/>
        </w:rPr>
      </w:pPr>
    </w:p>
    <w:p w14:paraId="0F494E2E" w14:textId="357A43D3" w:rsidR="00B14DDB" w:rsidRPr="00B14DDB" w:rsidRDefault="00B14DDB" w:rsidP="00B14DDB">
      <w:pPr>
        <w:spacing w:line="276" w:lineRule="auto"/>
        <w:jc w:val="both"/>
        <w:rPr>
          <w:b/>
          <w:bCs/>
          <w:sz w:val="40"/>
          <w:szCs w:val="40"/>
        </w:rPr>
      </w:pPr>
      <w:r w:rsidRPr="00B14DDB">
        <w:rPr>
          <w:b/>
          <w:bCs/>
          <w:sz w:val="40"/>
          <w:szCs w:val="40"/>
        </w:rPr>
        <w:t>Ενσωμάτωση στο εσωτερικό δίκαιο οδηγιών νέας προσέγγισης</w:t>
      </w:r>
    </w:p>
    <w:p w14:paraId="0A4904AB" w14:textId="77777777" w:rsidR="00B14DDB" w:rsidRPr="00B14DDB" w:rsidRDefault="00B14DDB" w:rsidP="00B14DDB">
      <w:pPr>
        <w:spacing w:line="276" w:lineRule="auto"/>
        <w:jc w:val="both"/>
        <w:rPr>
          <w:sz w:val="36"/>
          <w:szCs w:val="36"/>
        </w:rPr>
      </w:pPr>
    </w:p>
    <w:p w14:paraId="2E44D250" w14:textId="27175E12" w:rsidR="00B14DDB" w:rsidRPr="00B14DDB" w:rsidRDefault="00B14DDB" w:rsidP="00B14DDB">
      <w:pPr>
        <w:spacing w:line="276" w:lineRule="auto"/>
        <w:jc w:val="both"/>
        <w:rPr>
          <w:sz w:val="36"/>
          <w:szCs w:val="36"/>
        </w:rPr>
      </w:pPr>
      <w:r w:rsidRPr="00B14DDB">
        <w:rPr>
          <w:sz w:val="36"/>
          <w:szCs w:val="36"/>
        </w:rPr>
        <w:t xml:space="preserve">Οι </w:t>
      </w:r>
      <w:r w:rsidR="00AC28D6">
        <w:rPr>
          <w:sz w:val="36"/>
          <w:szCs w:val="36"/>
        </w:rPr>
        <w:t xml:space="preserve">κανονισμοί και </w:t>
      </w:r>
      <w:r w:rsidRPr="00B14DDB">
        <w:rPr>
          <w:sz w:val="36"/>
          <w:szCs w:val="36"/>
        </w:rPr>
        <w:t xml:space="preserve">οδηγίες νέας προσέγγισης είναι οδηγίες πλήρους εναρμόνισης: </w:t>
      </w:r>
      <w:r w:rsidRPr="00B14DDB">
        <w:rPr>
          <w:b/>
          <w:bCs/>
          <w:color w:val="FF0000"/>
          <w:sz w:val="36"/>
          <w:szCs w:val="36"/>
        </w:rPr>
        <w:t>οι διατάξεις των οδηγιών αυτών προηγούνται όλων των αντιστοίχων εθνικών διατάξεων</w:t>
      </w:r>
      <w:r w:rsidRPr="00B14DDB">
        <w:rPr>
          <w:sz w:val="36"/>
          <w:szCs w:val="36"/>
        </w:rPr>
        <w:t>.</w:t>
      </w:r>
    </w:p>
    <w:p w14:paraId="214517C3" w14:textId="77777777" w:rsidR="00B14DDB" w:rsidRPr="00B14DDB" w:rsidRDefault="00B14DDB" w:rsidP="00B14DDB">
      <w:pPr>
        <w:spacing w:line="276" w:lineRule="auto"/>
        <w:jc w:val="both"/>
        <w:rPr>
          <w:sz w:val="36"/>
          <w:szCs w:val="36"/>
        </w:rPr>
      </w:pPr>
      <w:r w:rsidRPr="00B14DDB">
        <w:rPr>
          <w:sz w:val="36"/>
          <w:szCs w:val="36"/>
        </w:rPr>
        <w:t>Οι οδηγίες νέας προσέγγισης απευθύνονται στα κράτη μέλη, τα οποία έχουν υποχρέωση να τις ενσωματώσουν στο εθνικό τους δίκαιο, αναλόγως.</w:t>
      </w:r>
    </w:p>
    <w:p w14:paraId="72AD5F5D" w14:textId="77777777" w:rsidR="00B14DDB" w:rsidRPr="00B14DDB" w:rsidRDefault="00B14DDB" w:rsidP="00B14DDB">
      <w:pPr>
        <w:spacing w:line="276" w:lineRule="auto"/>
        <w:jc w:val="both"/>
        <w:rPr>
          <w:sz w:val="36"/>
          <w:szCs w:val="36"/>
        </w:rPr>
      </w:pPr>
      <w:r w:rsidRPr="00B14DDB">
        <w:rPr>
          <w:sz w:val="36"/>
          <w:szCs w:val="36"/>
        </w:rPr>
        <w:t>Οι εθνικές νομοθετικές, κανονιστικές ή διοικητικές διατάξεις, οι οποίες ενσωματώνουν την οδηγία στο εσωτερικό δίκαιο, πρέπει να περιέχουν αναφορά στην εν λόγω οδηγία ή πρέπει να συνοδεύονται από τέτοιου είδους αναφορά κατά την επίσημη δημοσίευσή τους.</w:t>
      </w:r>
    </w:p>
    <w:p w14:paraId="16ECB513" w14:textId="053A7511" w:rsidR="002A5DA6" w:rsidRDefault="00B14DDB" w:rsidP="00B14DDB">
      <w:pPr>
        <w:spacing w:line="276" w:lineRule="auto"/>
        <w:jc w:val="both"/>
        <w:rPr>
          <w:sz w:val="36"/>
          <w:szCs w:val="36"/>
        </w:rPr>
      </w:pPr>
      <w:r w:rsidRPr="00B14DDB">
        <w:rPr>
          <w:sz w:val="36"/>
          <w:szCs w:val="36"/>
        </w:rPr>
        <w:t>Εθνικές νομοθετικές, κανονιστικές ή διοικητικές διατάξεις, οι οποίες εγκρίνονται και δημοσιεύονται προκειμένου να ενσωματώσουν στο εσωτερικό δίκαιο οδηγία, πρέπει να ανακοινώνονται στην Επιτροπή.</w:t>
      </w:r>
    </w:p>
    <w:p w14:paraId="446B495F" w14:textId="07D524AD" w:rsidR="001D36D0" w:rsidRPr="001D36D0" w:rsidRDefault="001D36D0" w:rsidP="001D36D0">
      <w:pPr>
        <w:spacing w:line="276" w:lineRule="auto"/>
        <w:jc w:val="both"/>
        <w:rPr>
          <w:b/>
          <w:bCs/>
          <w:sz w:val="40"/>
          <w:szCs w:val="40"/>
        </w:rPr>
      </w:pPr>
      <w:r w:rsidRPr="001D36D0">
        <w:rPr>
          <w:b/>
          <w:bCs/>
          <w:sz w:val="40"/>
          <w:szCs w:val="40"/>
        </w:rPr>
        <w:lastRenderedPageBreak/>
        <w:t>Ο Γαλάζιος Οδηγός σχετικά με την εφαρμογή των κανόνων της ΕΕ για τα προϊόντα</w:t>
      </w:r>
    </w:p>
    <w:p w14:paraId="3135718C" w14:textId="6A1E2BE2" w:rsidR="001D36D0" w:rsidRDefault="001D36D0" w:rsidP="001D36D0">
      <w:pPr>
        <w:spacing w:line="276" w:lineRule="auto"/>
        <w:jc w:val="both"/>
        <w:rPr>
          <w:sz w:val="36"/>
          <w:szCs w:val="36"/>
        </w:rPr>
      </w:pPr>
      <w:r w:rsidRPr="001D36D0">
        <w:rPr>
          <w:sz w:val="36"/>
          <w:szCs w:val="36"/>
        </w:rPr>
        <w:t xml:space="preserve">Ο οδηγός για την εφαρμογή των οδηγιών που βασίζονται στη νέα προσέγγιση και τη σφαιρική προσέγγιση («Γαλάζιος οδηγός»). </w:t>
      </w:r>
    </w:p>
    <w:p w14:paraId="3273BB99" w14:textId="4EB1D043" w:rsidR="00A66236" w:rsidRDefault="00BE0971" w:rsidP="001D36D0">
      <w:pPr>
        <w:spacing w:line="276" w:lineRule="auto"/>
        <w:jc w:val="both"/>
        <w:rPr>
          <w:sz w:val="36"/>
          <w:szCs w:val="36"/>
        </w:rPr>
      </w:pPr>
      <w:r>
        <w:rPr>
          <w:sz w:val="36"/>
          <w:szCs w:val="36"/>
        </w:rPr>
        <w:t>Ο</w:t>
      </w:r>
      <w:r w:rsidR="001D36D0" w:rsidRPr="001D36D0">
        <w:rPr>
          <w:sz w:val="36"/>
          <w:szCs w:val="36"/>
        </w:rPr>
        <w:t xml:space="preserve"> εν λόγω οδηγός έχει εξελιχθεί σε ένα από τα κύρια έγγραφα αναφοράς που επεξηγεί τον τρόπο εφαρμογής της νομοθεσίας με βάση τη νέα προσέγγιση</w:t>
      </w:r>
      <w:r>
        <w:rPr>
          <w:sz w:val="36"/>
          <w:szCs w:val="36"/>
        </w:rPr>
        <w:t>.</w:t>
      </w:r>
      <w:r w:rsidR="001D36D0" w:rsidRPr="001D36D0">
        <w:rPr>
          <w:sz w:val="36"/>
          <w:szCs w:val="36"/>
        </w:rPr>
        <w:t xml:space="preserve"> </w:t>
      </w:r>
    </w:p>
    <w:p w14:paraId="3DC34A64" w14:textId="0A1485B1" w:rsidR="00D5379F" w:rsidRDefault="00533E03" w:rsidP="001D36D0">
      <w:pPr>
        <w:spacing w:line="276" w:lineRule="auto"/>
        <w:jc w:val="both"/>
        <w:rPr>
          <w:sz w:val="36"/>
          <w:szCs w:val="36"/>
          <w:lang w:val="en-GB"/>
        </w:rPr>
      </w:pPr>
      <w:r>
        <w:rPr>
          <w:sz w:val="36"/>
          <w:szCs w:val="36"/>
        </w:rPr>
        <w:t xml:space="preserve">Τρέχουσα </w:t>
      </w:r>
      <w:r w:rsidRPr="00533E03">
        <w:rPr>
          <w:sz w:val="36"/>
          <w:szCs w:val="36"/>
        </w:rPr>
        <w:t>Έκδοση</w:t>
      </w:r>
      <w:r w:rsidR="00CB0B92">
        <w:rPr>
          <w:sz w:val="36"/>
          <w:szCs w:val="36"/>
          <w:lang w:val="en-GB"/>
        </w:rPr>
        <w:t>:</w:t>
      </w:r>
      <w:r w:rsidRPr="00533E03">
        <w:rPr>
          <w:sz w:val="36"/>
          <w:szCs w:val="36"/>
        </w:rPr>
        <w:t xml:space="preserve"> </w:t>
      </w:r>
      <w:r w:rsidR="00694828" w:rsidRPr="00694828">
        <w:rPr>
          <w:sz w:val="36"/>
          <w:szCs w:val="36"/>
        </w:rPr>
        <w:t>29.6.2022</w:t>
      </w:r>
      <w:r>
        <w:rPr>
          <w:sz w:val="36"/>
          <w:szCs w:val="36"/>
        </w:rPr>
        <w:t>.</w:t>
      </w:r>
    </w:p>
    <w:p w14:paraId="1415AE16" w14:textId="01571628" w:rsidR="00CB0B92" w:rsidRDefault="006033C2" w:rsidP="001D36D0">
      <w:pPr>
        <w:spacing w:line="276" w:lineRule="auto"/>
        <w:jc w:val="both"/>
        <w:rPr>
          <w:sz w:val="36"/>
          <w:szCs w:val="36"/>
        </w:rPr>
      </w:pPr>
      <w:r>
        <w:rPr>
          <w:sz w:val="36"/>
          <w:szCs w:val="36"/>
        </w:rPr>
        <w:t>Σημαντικές λοιπές πληροφορίες εντός του</w:t>
      </w:r>
      <w:r w:rsidRPr="006033C2">
        <w:rPr>
          <w:sz w:val="36"/>
          <w:szCs w:val="36"/>
        </w:rPr>
        <w:t>:</w:t>
      </w:r>
      <w:r>
        <w:rPr>
          <w:sz w:val="36"/>
          <w:szCs w:val="36"/>
        </w:rPr>
        <w:t xml:space="preserve">   </w:t>
      </w:r>
      <w:r w:rsidR="00D116D9">
        <w:rPr>
          <w:sz w:val="36"/>
          <w:szCs w:val="36"/>
          <w:lang w:val="en-GB"/>
        </w:rPr>
        <w:object w:dxaOrig="1532" w:dyaOrig="991" w14:anchorId="45854A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35pt;height:49.45pt" o:ole="">
            <v:imagedata r:id="rId17" o:title=""/>
          </v:shape>
          <o:OLEObject Type="Embed" ProgID="AcroExch.Document.DC" ShapeID="_x0000_i1027" DrawAspect="Icon" ObjectID="_1795110816" r:id="rId18"/>
        </w:object>
      </w:r>
    </w:p>
    <w:p w14:paraId="73B60B8A" w14:textId="77777777" w:rsidR="00E21C4A" w:rsidRPr="00E21C4A" w:rsidRDefault="00E21C4A" w:rsidP="001D36D0">
      <w:pPr>
        <w:spacing w:line="276" w:lineRule="auto"/>
        <w:jc w:val="both"/>
        <w:rPr>
          <w:sz w:val="36"/>
          <w:szCs w:val="36"/>
        </w:rPr>
      </w:pPr>
    </w:p>
    <w:sectPr w:rsidR="00E21C4A" w:rsidRPr="00E21C4A" w:rsidSect="0097336D">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3AB7D" w14:textId="77777777" w:rsidR="00916217" w:rsidRDefault="00916217" w:rsidP="00916217">
      <w:pPr>
        <w:spacing w:after="0" w:line="240" w:lineRule="auto"/>
      </w:pPr>
      <w:r>
        <w:separator/>
      </w:r>
    </w:p>
  </w:endnote>
  <w:endnote w:type="continuationSeparator" w:id="0">
    <w:p w14:paraId="6B462546" w14:textId="77777777" w:rsidR="00916217" w:rsidRDefault="00916217" w:rsidP="00916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8642919"/>
      <w:docPartObj>
        <w:docPartGallery w:val="Page Numbers (Bottom of Page)"/>
        <w:docPartUnique/>
      </w:docPartObj>
    </w:sdtPr>
    <w:sdtEndPr>
      <w:rPr>
        <w:color w:val="0000FF"/>
      </w:rPr>
    </w:sdtEndPr>
    <w:sdtContent>
      <w:sdt>
        <w:sdtPr>
          <w:id w:val="-1769616900"/>
          <w:docPartObj>
            <w:docPartGallery w:val="Page Numbers (Top of Page)"/>
            <w:docPartUnique/>
          </w:docPartObj>
        </w:sdtPr>
        <w:sdtEndPr>
          <w:rPr>
            <w:color w:val="0000FF"/>
          </w:rPr>
        </w:sdtEndPr>
        <w:sdtContent>
          <w:p w14:paraId="0120C530" w14:textId="7406B957" w:rsidR="00916217" w:rsidRPr="00D572EA" w:rsidRDefault="00916217">
            <w:pPr>
              <w:pStyle w:val="Footer"/>
              <w:jc w:val="right"/>
              <w:rPr>
                <w:color w:val="0000FF"/>
              </w:rPr>
            </w:pPr>
            <w:r w:rsidRPr="00D572EA">
              <w:rPr>
                <w:b/>
                <w:bCs/>
                <w:color w:val="0000FF"/>
                <w:sz w:val="24"/>
                <w:szCs w:val="24"/>
              </w:rPr>
              <w:fldChar w:fldCharType="begin"/>
            </w:r>
            <w:r w:rsidRPr="00D572EA">
              <w:rPr>
                <w:b/>
                <w:bCs/>
                <w:color w:val="0000FF"/>
              </w:rPr>
              <w:instrText>PAGE</w:instrText>
            </w:r>
            <w:r w:rsidRPr="00D572EA">
              <w:rPr>
                <w:b/>
                <w:bCs/>
                <w:color w:val="0000FF"/>
                <w:sz w:val="24"/>
                <w:szCs w:val="24"/>
              </w:rPr>
              <w:fldChar w:fldCharType="separate"/>
            </w:r>
            <w:r w:rsidRPr="00D572EA">
              <w:rPr>
                <w:b/>
                <w:bCs/>
                <w:color w:val="0000FF"/>
              </w:rPr>
              <w:t>2</w:t>
            </w:r>
            <w:r w:rsidRPr="00D572EA">
              <w:rPr>
                <w:b/>
                <w:bCs/>
                <w:color w:val="0000FF"/>
                <w:sz w:val="24"/>
                <w:szCs w:val="24"/>
              </w:rPr>
              <w:fldChar w:fldCharType="end"/>
            </w:r>
            <w:r w:rsidRPr="00D572EA">
              <w:rPr>
                <w:color w:val="0000FF"/>
              </w:rPr>
              <w:t xml:space="preserve"> από </w:t>
            </w:r>
            <w:r w:rsidRPr="00D572EA">
              <w:rPr>
                <w:b/>
                <w:bCs/>
                <w:color w:val="0000FF"/>
                <w:sz w:val="24"/>
                <w:szCs w:val="24"/>
              </w:rPr>
              <w:fldChar w:fldCharType="begin"/>
            </w:r>
            <w:r w:rsidRPr="00D572EA">
              <w:rPr>
                <w:b/>
                <w:bCs/>
                <w:color w:val="0000FF"/>
              </w:rPr>
              <w:instrText>NUMPAGES</w:instrText>
            </w:r>
            <w:r w:rsidRPr="00D572EA">
              <w:rPr>
                <w:b/>
                <w:bCs/>
                <w:color w:val="0000FF"/>
                <w:sz w:val="24"/>
                <w:szCs w:val="24"/>
              </w:rPr>
              <w:fldChar w:fldCharType="separate"/>
            </w:r>
            <w:r w:rsidRPr="00D572EA">
              <w:rPr>
                <w:b/>
                <w:bCs/>
                <w:color w:val="0000FF"/>
              </w:rPr>
              <w:t>2</w:t>
            </w:r>
            <w:r w:rsidRPr="00D572EA">
              <w:rPr>
                <w:b/>
                <w:bCs/>
                <w:color w:val="0000FF"/>
                <w:sz w:val="24"/>
                <w:szCs w:val="24"/>
              </w:rPr>
              <w:fldChar w:fldCharType="end"/>
            </w:r>
          </w:p>
        </w:sdtContent>
      </w:sdt>
    </w:sdtContent>
  </w:sdt>
  <w:p w14:paraId="54C57083" w14:textId="77777777" w:rsidR="00916217" w:rsidRDefault="00916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6114A4" w14:textId="77777777" w:rsidR="00916217" w:rsidRDefault="00916217" w:rsidP="00916217">
      <w:pPr>
        <w:spacing w:after="0" w:line="240" w:lineRule="auto"/>
      </w:pPr>
      <w:r>
        <w:separator/>
      </w:r>
    </w:p>
  </w:footnote>
  <w:footnote w:type="continuationSeparator" w:id="0">
    <w:p w14:paraId="26C37DEF" w14:textId="77777777" w:rsidR="00916217" w:rsidRDefault="00916217" w:rsidP="009162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41B71" w14:textId="57EBAF4B" w:rsidR="00916217" w:rsidRPr="00D572EA" w:rsidRDefault="00916217" w:rsidP="00D572EA">
    <w:pPr>
      <w:spacing w:line="264" w:lineRule="auto"/>
      <w:jc w:val="center"/>
      <w:rPr>
        <w:b/>
        <w:bCs/>
        <w:sz w:val="24"/>
        <w:szCs w:val="24"/>
      </w:rPr>
    </w:pPr>
    <w:r w:rsidRPr="00D572EA">
      <w:rPr>
        <w:b/>
        <w:bCs/>
        <w:noProof/>
        <w:color w:val="0000FF"/>
        <w:sz w:val="24"/>
        <w:szCs w:val="24"/>
      </w:rPr>
      <mc:AlternateContent>
        <mc:Choice Requires="wps">
          <w:drawing>
            <wp:anchor distT="0" distB="0" distL="114300" distR="114300" simplePos="0" relativeHeight="251659264" behindDoc="0" locked="0" layoutInCell="1" allowOverlap="1" wp14:anchorId="63AD7199" wp14:editId="0FEBF997">
              <wp:simplePos x="0" y="0"/>
              <wp:positionH relativeFrom="page">
                <wp:align>center</wp:align>
              </wp:positionH>
              <wp:positionV relativeFrom="page">
                <wp:align>center</wp:align>
              </wp:positionV>
              <wp:extent cx="7376160" cy="9555480"/>
              <wp:effectExtent l="0" t="0" r="26670" b="26670"/>
              <wp:wrapNone/>
              <wp:docPr id="222" name="Rectangle 233"/>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F6741B8" id="Rectangle 233"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" filled="f" strokecolor="#737373 [1614]" strokeweight="1.25pt">
              <w10:wrap anchorx="page" anchory="page"/>
            </v:rect>
          </w:pict>
        </mc:Fallback>
      </mc:AlternateContent>
    </w:r>
    <w:r w:rsidR="003B0A9A" w:rsidRPr="00D572EA">
      <w:rPr>
        <w:b/>
        <w:bCs/>
        <w:color w:val="0000FF"/>
        <w:sz w:val="24"/>
        <w:szCs w:val="24"/>
      </w:rPr>
      <w:t>Απαιτήσεις Συμμόρφωσης Προϊόντων</w:t>
    </w:r>
    <w:r w:rsidR="001D1BB3" w:rsidRPr="00D572EA">
      <w:rPr>
        <w:b/>
        <w:bCs/>
        <w:color w:val="0000FF"/>
        <w:sz w:val="24"/>
        <w:szCs w:val="24"/>
      </w:rPr>
      <w:t xml:space="preserve">                                       Δεκ. 2024 – </w:t>
    </w:r>
    <w:proofErr w:type="spellStart"/>
    <w:r w:rsidR="001D1BB3" w:rsidRPr="00D572EA">
      <w:rPr>
        <w:b/>
        <w:bCs/>
        <w:color w:val="0000FF"/>
        <w:sz w:val="24"/>
        <w:szCs w:val="24"/>
      </w:rPr>
      <w:t>ΠΑΔΑ</w:t>
    </w:r>
    <w:proofErr w:type="spellEnd"/>
    <w:r w:rsidR="001D1BB3" w:rsidRPr="00D572EA">
      <w:rPr>
        <w:b/>
        <w:bCs/>
        <w:color w:val="0000FF"/>
        <w:sz w:val="24"/>
        <w:szCs w:val="24"/>
      </w:rPr>
      <w:t xml:space="preserve"> </w:t>
    </w:r>
    <w:r w:rsidR="00D572EA" w:rsidRPr="00D572EA">
      <w:rPr>
        <w:b/>
        <w:bCs/>
        <w:color w:val="0000FF"/>
        <w:sz w:val="24"/>
        <w:szCs w:val="24"/>
      </w:rPr>
      <w:t xml:space="preserve">                                       </w:t>
    </w:r>
    <w:r w:rsidR="001D1BB3" w:rsidRPr="00D572EA">
      <w:rPr>
        <w:b/>
        <w:bCs/>
        <w:color w:val="0000FF"/>
        <w:sz w:val="24"/>
        <w:szCs w:val="24"/>
      </w:rPr>
      <w:t>Τριανταφύλλου Παντελής</w:t>
    </w:r>
  </w:p>
  <w:p w14:paraId="353F6B53" w14:textId="77777777" w:rsidR="00916217" w:rsidRDefault="00916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94016C"/>
    <w:multiLevelType w:val="hybridMultilevel"/>
    <w:tmpl w:val="81A4FF38"/>
    <w:lvl w:ilvl="0" w:tplc="323A3434">
      <w:start w:val="3"/>
      <w:numFmt w:val="bullet"/>
      <w:lvlText w:val="⤇"/>
      <w:lvlJc w:val="left"/>
      <w:pPr>
        <w:ind w:left="720" w:hanging="360"/>
      </w:pPr>
      <w:rPr>
        <w:rFonts w:ascii="Cambria" w:eastAsiaTheme="minorHAnsi" w:hAnsi="Cambri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42FC0807"/>
    <w:multiLevelType w:val="hybridMultilevel"/>
    <w:tmpl w:val="29E6D2D8"/>
    <w:lvl w:ilvl="0" w:tplc="27C87B62">
      <w:start w:val="1"/>
      <w:numFmt w:val="decimal"/>
      <w:lvlText w:val="%1."/>
      <w:lvlJc w:val="left"/>
      <w:pPr>
        <w:tabs>
          <w:tab w:val="num" w:pos="720"/>
        </w:tabs>
        <w:ind w:left="720" w:hanging="360"/>
      </w:pPr>
    </w:lvl>
    <w:lvl w:ilvl="1" w:tplc="025A9044" w:tentative="1">
      <w:start w:val="1"/>
      <w:numFmt w:val="decimal"/>
      <w:lvlText w:val="%2."/>
      <w:lvlJc w:val="left"/>
      <w:pPr>
        <w:tabs>
          <w:tab w:val="num" w:pos="1440"/>
        </w:tabs>
        <w:ind w:left="1440" w:hanging="360"/>
      </w:pPr>
    </w:lvl>
    <w:lvl w:ilvl="2" w:tplc="0ADCF2CA" w:tentative="1">
      <w:start w:val="1"/>
      <w:numFmt w:val="decimal"/>
      <w:lvlText w:val="%3."/>
      <w:lvlJc w:val="left"/>
      <w:pPr>
        <w:tabs>
          <w:tab w:val="num" w:pos="2160"/>
        </w:tabs>
        <w:ind w:left="2160" w:hanging="360"/>
      </w:pPr>
    </w:lvl>
    <w:lvl w:ilvl="3" w:tplc="C6AC40B0" w:tentative="1">
      <w:start w:val="1"/>
      <w:numFmt w:val="decimal"/>
      <w:lvlText w:val="%4."/>
      <w:lvlJc w:val="left"/>
      <w:pPr>
        <w:tabs>
          <w:tab w:val="num" w:pos="2880"/>
        </w:tabs>
        <w:ind w:left="2880" w:hanging="360"/>
      </w:pPr>
    </w:lvl>
    <w:lvl w:ilvl="4" w:tplc="12FCD400" w:tentative="1">
      <w:start w:val="1"/>
      <w:numFmt w:val="decimal"/>
      <w:lvlText w:val="%5."/>
      <w:lvlJc w:val="left"/>
      <w:pPr>
        <w:tabs>
          <w:tab w:val="num" w:pos="3600"/>
        </w:tabs>
        <w:ind w:left="3600" w:hanging="360"/>
      </w:pPr>
    </w:lvl>
    <w:lvl w:ilvl="5" w:tplc="824630D8" w:tentative="1">
      <w:start w:val="1"/>
      <w:numFmt w:val="decimal"/>
      <w:lvlText w:val="%6."/>
      <w:lvlJc w:val="left"/>
      <w:pPr>
        <w:tabs>
          <w:tab w:val="num" w:pos="4320"/>
        </w:tabs>
        <w:ind w:left="4320" w:hanging="360"/>
      </w:pPr>
    </w:lvl>
    <w:lvl w:ilvl="6" w:tplc="3C7CCB42" w:tentative="1">
      <w:start w:val="1"/>
      <w:numFmt w:val="decimal"/>
      <w:lvlText w:val="%7."/>
      <w:lvlJc w:val="left"/>
      <w:pPr>
        <w:tabs>
          <w:tab w:val="num" w:pos="5040"/>
        </w:tabs>
        <w:ind w:left="5040" w:hanging="360"/>
      </w:pPr>
    </w:lvl>
    <w:lvl w:ilvl="7" w:tplc="552263E0" w:tentative="1">
      <w:start w:val="1"/>
      <w:numFmt w:val="decimal"/>
      <w:lvlText w:val="%8."/>
      <w:lvlJc w:val="left"/>
      <w:pPr>
        <w:tabs>
          <w:tab w:val="num" w:pos="5760"/>
        </w:tabs>
        <w:ind w:left="5760" w:hanging="360"/>
      </w:pPr>
    </w:lvl>
    <w:lvl w:ilvl="8" w:tplc="1CC07970" w:tentative="1">
      <w:start w:val="1"/>
      <w:numFmt w:val="decimal"/>
      <w:lvlText w:val="%9."/>
      <w:lvlJc w:val="left"/>
      <w:pPr>
        <w:tabs>
          <w:tab w:val="num" w:pos="6480"/>
        </w:tabs>
        <w:ind w:left="6480" w:hanging="360"/>
      </w:pPr>
    </w:lvl>
  </w:abstractNum>
  <w:abstractNum w:abstractNumId="2" w15:restartNumberingAfterBreak="0">
    <w:nsid w:val="493A058E"/>
    <w:multiLevelType w:val="hybridMultilevel"/>
    <w:tmpl w:val="1EA059E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131065C"/>
    <w:multiLevelType w:val="hybridMultilevel"/>
    <w:tmpl w:val="71C633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22A2755"/>
    <w:multiLevelType w:val="hybridMultilevel"/>
    <w:tmpl w:val="EF1A74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16C15AD"/>
    <w:multiLevelType w:val="hybridMultilevel"/>
    <w:tmpl w:val="8FAE7F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423378065">
    <w:abstractNumId w:val="1"/>
  </w:num>
  <w:num w:numId="2" w16cid:durableId="2145269541">
    <w:abstractNumId w:val="3"/>
  </w:num>
  <w:num w:numId="3" w16cid:durableId="1354917405">
    <w:abstractNumId w:val="0"/>
  </w:num>
  <w:num w:numId="4" w16cid:durableId="377709393">
    <w:abstractNumId w:val="5"/>
  </w:num>
  <w:num w:numId="5" w16cid:durableId="177042656">
    <w:abstractNumId w:val="4"/>
  </w:num>
  <w:num w:numId="6" w16cid:durableId="10685762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B9A"/>
    <w:rsid w:val="00007011"/>
    <w:rsid w:val="00072AE7"/>
    <w:rsid w:val="00077F75"/>
    <w:rsid w:val="000913A5"/>
    <w:rsid w:val="000918A3"/>
    <w:rsid w:val="0009542E"/>
    <w:rsid w:val="000B682A"/>
    <w:rsid w:val="000C5682"/>
    <w:rsid w:val="000D0A1B"/>
    <w:rsid w:val="000D5DB9"/>
    <w:rsid w:val="000E424F"/>
    <w:rsid w:val="000F6AFE"/>
    <w:rsid w:val="001B3F9E"/>
    <w:rsid w:val="001D105B"/>
    <w:rsid w:val="001D1BB3"/>
    <w:rsid w:val="001D36D0"/>
    <w:rsid w:val="0024646C"/>
    <w:rsid w:val="0026262D"/>
    <w:rsid w:val="002A5DA6"/>
    <w:rsid w:val="002B5601"/>
    <w:rsid w:val="003315D1"/>
    <w:rsid w:val="003B0A9A"/>
    <w:rsid w:val="00431A22"/>
    <w:rsid w:val="00452FCD"/>
    <w:rsid w:val="00475F86"/>
    <w:rsid w:val="004767A7"/>
    <w:rsid w:val="004A101B"/>
    <w:rsid w:val="004C7163"/>
    <w:rsid w:val="00533E03"/>
    <w:rsid w:val="005B11D2"/>
    <w:rsid w:val="005D1EA2"/>
    <w:rsid w:val="006033C2"/>
    <w:rsid w:val="006248F3"/>
    <w:rsid w:val="00642E5D"/>
    <w:rsid w:val="00694828"/>
    <w:rsid w:val="00760C41"/>
    <w:rsid w:val="007670D9"/>
    <w:rsid w:val="00786428"/>
    <w:rsid w:val="00800DB8"/>
    <w:rsid w:val="0080506D"/>
    <w:rsid w:val="00813AE7"/>
    <w:rsid w:val="00816D04"/>
    <w:rsid w:val="00825373"/>
    <w:rsid w:val="008807B6"/>
    <w:rsid w:val="008B00FD"/>
    <w:rsid w:val="008D0007"/>
    <w:rsid w:val="008F07C2"/>
    <w:rsid w:val="00912BC4"/>
    <w:rsid w:val="00916217"/>
    <w:rsid w:val="0091696D"/>
    <w:rsid w:val="009511ED"/>
    <w:rsid w:val="0097336D"/>
    <w:rsid w:val="00A37141"/>
    <w:rsid w:val="00A451D1"/>
    <w:rsid w:val="00A47D7F"/>
    <w:rsid w:val="00A66236"/>
    <w:rsid w:val="00A7302D"/>
    <w:rsid w:val="00AC28D6"/>
    <w:rsid w:val="00AD5412"/>
    <w:rsid w:val="00B14DDB"/>
    <w:rsid w:val="00B22BCB"/>
    <w:rsid w:val="00B26B5C"/>
    <w:rsid w:val="00BE0971"/>
    <w:rsid w:val="00C04B9A"/>
    <w:rsid w:val="00C659AC"/>
    <w:rsid w:val="00C67213"/>
    <w:rsid w:val="00C76477"/>
    <w:rsid w:val="00CB0B92"/>
    <w:rsid w:val="00CD1621"/>
    <w:rsid w:val="00D01A28"/>
    <w:rsid w:val="00D116D9"/>
    <w:rsid w:val="00D22559"/>
    <w:rsid w:val="00D35041"/>
    <w:rsid w:val="00D5379F"/>
    <w:rsid w:val="00D572EA"/>
    <w:rsid w:val="00D76752"/>
    <w:rsid w:val="00D9701B"/>
    <w:rsid w:val="00E06688"/>
    <w:rsid w:val="00E10530"/>
    <w:rsid w:val="00E21C4A"/>
    <w:rsid w:val="00E30964"/>
    <w:rsid w:val="00E7012A"/>
    <w:rsid w:val="00E74BAE"/>
    <w:rsid w:val="00EB1688"/>
    <w:rsid w:val="00EB3F9E"/>
    <w:rsid w:val="00EE7122"/>
    <w:rsid w:val="00EF565D"/>
    <w:rsid w:val="00F0774F"/>
    <w:rsid w:val="00FA2757"/>
    <w:rsid w:val="00FD140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9fc"/>
      <o:colormenu v:ext="edit" fillcolor="#9fc"/>
    </o:shapedefaults>
    <o:shapelayout v:ext="edit">
      <o:idmap v:ext="edit" data="1"/>
    </o:shapelayout>
  </w:shapeDefaults>
  <w:decimalSymbol w:val=","/>
  <w:listSeparator w:val=";"/>
  <w14:docId w14:val="248A12D9"/>
  <w15:chartTrackingRefBased/>
  <w15:docId w15:val="{C273CC7D-D494-4282-88A5-551F5D472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B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4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4B9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4B9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4B9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4B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4B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4B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4B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B9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4B9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4B9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4B9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4B9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4B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4B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4B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4B9A"/>
    <w:rPr>
      <w:rFonts w:eastAsiaTheme="majorEastAsia" w:cstheme="majorBidi"/>
      <w:color w:val="272727" w:themeColor="text1" w:themeTint="D8"/>
    </w:rPr>
  </w:style>
  <w:style w:type="paragraph" w:styleId="Title">
    <w:name w:val="Title"/>
    <w:basedOn w:val="Normal"/>
    <w:next w:val="Normal"/>
    <w:link w:val="TitleChar"/>
    <w:uiPriority w:val="10"/>
    <w:qFormat/>
    <w:rsid w:val="00C04B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4B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4B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4B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4B9A"/>
    <w:pPr>
      <w:spacing w:before="160"/>
      <w:jc w:val="center"/>
    </w:pPr>
    <w:rPr>
      <w:i/>
      <w:iCs/>
      <w:color w:val="404040" w:themeColor="text1" w:themeTint="BF"/>
    </w:rPr>
  </w:style>
  <w:style w:type="character" w:customStyle="1" w:styleId="QuoteChar">
    <w:name w:val="Quote Char"/>
    <w:basedOn w:val="DefaultParagraphFont"/>
    <w:link w:val="Quote"/>
    <w:uiPriority w:val="29"/>
    <w:rsid w:val="00C04B9A"/>
    <w:rPr>
      <w:i/>
      <w:iCs/>
      <w:color w:val="404040" w:themeColor="text1" w:themeTint="BF"/>
    </w:rPr>
  </w:style>
  <w:style w:type="paragraph" w:styleId="ListParagraph">
    <w:name w:val="List Paragraph"/>
    <w:basedOn w:val="Normal"/>
    <w:uiPriority w:val="34"/>
    <w:qFormat/>
    <w:rsid w:val="00C04B9A"/>
    <w:pPr>
      <w:ind w:left="720"/>
      <w:contextualSpacing/>
    </w:pPr>
  </w:style>
  <w:style w:type="character" w:styleId="IntenseEmphasis">
    <w:name w:val="Intense Emphasis"/>
    <w:basedOn w:val="DefaultParagraphFont"/>
    <w:uiPriority w:val="21"/>
    <w:qFormat/>
    <w:rsid w:val="00C04B9A"/>
    <w:rPr>
      <w:i/>
      <w:iCs/>
      <w:color w:val="0F4761" w:themeColor="accent1" w:themeShade="BF"/>
    </w:rPr>
  </w:style>
  <w:style w:type="paragraph" w:styleId="IntenseQuote">
    <w:name w:val="Intense Quote"/>
    <w:basedOn w:val="Normal"/>
    <w:next w:val="Normal"/>
    <w:link w:val="IntenseQuoteChar"/>
    <w:uiPriority w:val="30"/>
    <w:qFormat/>
    <w:rsid w:val="00C04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4B9A"/>
    <w:rPr>
      <w:i/>
      <w:iCs/>
      <w:color w:val="0F4761" w:themeColor="accent1" w:themeShade="BF"/>
    </w:rPr>
  </w:style>
  <w:style w:type="character" w:styleId="IntenseReference">
    <w:name w:val="Intense Reference"/>
    <w:basedOn w:val="DefaultParagraphFont"/>
    <w:uiPriority w:val="32"/>
    <w:qFormat/>
    <w:rsid w:val="00C04B9A"/>
    <w:rPr>
      <w:b/>
      <w:bCs/>
      <w:smallCaps/>
      <w:color w:val="0F4761" w:themeColor="accent1" w:themeShade="BF"/>
      <w:spacing w:val="5"/>
    </w:rPr>
  </w:style>
  <w:style w:type="character" w:styleId="Hyperlink">
    <w:name w:val="Hyperlink"/>
    <w:basedOn w:val="DefaultParagraphFont"/>
    <w:uiPriority w:val="99"/>
    <w:unhideWhenUsed/>
    <w:rsid w:val="008807B6"/>
    <w:rPr>
      <w:color w:val="467886" w:themeColor="hyperlink"/>
      <w:u w:val="single"/>
    </w:rPr>
  </w:style>
  <w:style w:type="character" w:styleId="UnresolvedMention">
    <w:name w:val="Unresolved Mention"/>
    <w:basedOn w:val="DefaultParagraphFont"/>
    <w:uiPriority w:val="99"/>
    <w:semiHidden/>
    <w:unhideWhenUsed/>
    <w:rsid w:val="008807B6"/>
    <w:rPr>
      <w:color w:val="605E5C"/>
      <w:shd w:val="clear" w:color="auto" w:fill="E1DFDD"/>
    </w:rPr>
  </w:style>
  <w:style w:type="paragraph" w:styleId="Header">
    <w:name w:val="header"/>
    <w:basedOn w:val="Normal"/>
    <w:link w:val="HeaderChar"/>
    <w:uiPriority w:val="99"/>
    <w:unhideWhenUsed/>
    <w:rsid w:val="00916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6217"/>
  </w:style>
  <w:style w:type="paragraph" w:styleId="Footer">
    <w:name w:val="footer"/>
    <w:basedOn w:val="Normal"/>
    <w:link w:val="FooterChar"/>
    <w:uiPriority w:val="99"/>
    <w:unhideWhenUsed/>
    <w:rsid w:val="00916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6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0427144">
      <w:bodyDiv w:val="1"/>
      <w:marLeft w:val="0"/>
      <w:marRight w:val="0"/>
      <w:marTop w:val="0"/>
      <w:marBottom w:val="0"/>
      <w:divBdr>
        <w:top w:val="none" w:sz="0" w:space="0" w:color="auto"/>
        <w:left w:val="none" w:sz="0" w:space="0" w:color="auto"/>
        <w:bottom w:val="none" w:sz="0" w:space="0" w:color="auto"/>
        <w:right w:val="none" w:sz="0" w:space="0" w:color="auto"/>
      </w:divBdr>
      <w:divsChild>
        <w:div w:id="758982994">
          <w:marLeft w:val="547"/>
          <w:marRight w:val="0"/>
          <w:marTop w:val="0"/>
          <w:marBottom w:val="0"/>
          <w:divBdr>
            <w:top w:val="none" w:sz="0" w:space="0" w:color="auto"/>
            <w:left w:val="none" w:sz="0" w:space="0" w:color="auto"/>
            <w:bottom w:val="none" w:sz="0" w:space="0" w:color="auto"/>
            <w:right w:val="none" w:sz="0" w:space="0" w:color="auto"/>
          </w:divBdr>
        </w:div>
        <w:div w:id="961034694">
          <w:marLeft w:val="547"/>
          <w:marRight w:val="0"/>
          <w:marTop w:val="0"/>
          <w:marBottom w:val="0"/>
          <w:divBdr>
            <w:top w:val="none" w:sz="0" w:space="0" w:color="auto"/>
            <w:left w:val="none" w:sz="0" w:space="0" w:color="auto"/>
            <w:bottom w:val="none" w:sz="0" w:space="0" w:color="auto"/>
            <w:right w:val="none" w:sz="0" w:space="0" w:color="auto"/>
          </w:divBdr>
        </w:div>
        <w:div w:id="1866674105">
          <w:marLeft w:val="547"/>
          <w:marRight w:val="0"/>
          <w:marTop w:val="0"/>
          <w:marBottom w:val="0"/>
          <w:divBdr>
            <w:top w:val="none" w:sz="0" w:space="0" w:color="auto"/>
            <w:left w:val="none" w:sz="0" w:space="0" w:color="auto"/>
            <w:bottom w:val="none" w:sz="0" w:space="0" w:color="auto"/>
            <w:right w:val="none" w:sz="0" w:space="0" w:color="auto"/>
          </w:divBdr>
        </w:div>
        <w:div w:id="910626736">
          <w:marLeft w:val="547"/>
          <w:marRight w:val="0"/>
          <w:marTop w:val="0"/>
          <w:marBottom w:val="0"/>
          <w:divBdr>
            <w:top w:val="none" w:sz="0" w:space="0" w:color="auto"/>
            <w:left w:val="none" w:sz="0" w:space="0" w:color="auto"/>
            <w:bottom w:val="none" w:sz="0" w:space="0" w:color="auto"/>
            <w:right w:val="none" w:sz="0" w:space="0" w:color="auto"/>
          </w:divBdr>
        </w:div>
        <w:div w:id="1708531059">
          <w:marLeft w:val="547"/>
          <w:marRight w:val="0"/>
          <w:marTop w:val="0"/>
          <w:marBottom w:val="0"/>
          <w:divBdr>
            <w:top w:val="none" w:sz="0" w:space="0" w:color="auto"/>
            <w:left w:val="none" w:sz="0" w:space="0" w:color="auto"/>
            <w:bottom w:val="none" w:sz="0" w:space="0" w:color="auto"/>
            <w:right w:val="none" w:sz="0" w:space="0" w:color="auto"/>
          </w:divBdr>
        </w:div>
        <w:div w:id="1031225425">
          <w:marLeft w:val="547"/>
          <w:marRight w:val="0"/>
          <w:marTop w:val="0"/>
          <w:marBottom w:val="0"/>
          <w:divBdr>
            <w:top w:val="none" w:sz="0" w:space="0" w:color="auto"/>
            <w:left w:val="none" w:sz="0" w:space="0" w:color="auto"/>
            <w:bottom w:val="none" w:sz="0" w:space="0" w:color="auto"/>
            <w:right w:val="none" w:sz="0" w:space="0" w:color="auto"/>
          </w:divBdr>
        </w:div>
        <w:div w:id="7660783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L/TXT/PDF/?uri=OJ:C:2022:247:FULL" TargetMode="External"/><Relationship Id="rId13" Type="http://schemas.openxmlformats.org/officeDocument/2006/relationships/hyperlink" Target="https://ec.europa.eu/docsroom/documents/60145" TargetMode="External"/><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eb.tee.gr/d-e-k-a-d/tmima-typopoiisis/organismoi/" TargetMode="External"/><Relationship Id="rId12" Type="http://schemas.openxmlformats.org/officeDocument/2006/relationships/hyperlink" Target="https://single-market-economy.ec.europa.eu/single-market/european-standards/harmonised-standards/machinery-md_en" TargetMode="External"/><Relationship Id="rId1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ec.europa.eu/docsroom/documents/61614"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ngle-market-economy.ec.europa.eu/single-market/european-standards/harmonised-standards_en" TargetMode="External"/><Relationship Id="rId5" Type="http://schemas.openxmlformats.org/officeDocument/2006/relationships/footnotes" Target="footnotes.xml"/><Relationship Id="rId15" Type="http://schemas.openxmlformats.org/officeDocument/2006/relationships/hyperlink" Target="https://eur-lex.europa.eu/eli/reg/2023/1230/oj" TargetMode="External"/><Relationship Id="rId10" Type="http://schemas.openxmlformats.org/officeDocument/2006/relationships/hyperlink" Target="http://193.218.125.20/41_ELL_HTML.aspx"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uropa.eu/youreurope/business/product-requirements/labels-markings/ce-marking/index_el.htm" TargetMode="External"/><Relationship Id="rId14" Type="http://schemas.openxmlformats.org/officeDocument/2006/relationships/hyperlink" Target="https://eur-lex.europa.eu/legal-content/el/ALL/?uri=CELEX:32006L004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11</Pages>
  <Words>1301</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Padelis Triadafilou</dc:creator>
  <cp:keywords/>
  <dc:description/>
  <cp:lastModifiedBy>Padelis Triadafilou</cp:lastModifiedBy>
  <cp:revision>76</cp:revision>
  <dcterms:created xsi:type="dcterms:W3CDTF">2024-12-07T09:14:00Z</dcterms:created>
  <dcterms:modified xsi:type="dcterms:W3CDTF">2024-12-07T19:07:00Z</dcterms:modified>
</cp:coreProperties>
</file>